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rFonts w:ascii="Times New Roman" w:hAnsi="Times New Roman"/>
          <w:b w:val="1"/>
        </w:rPr>
      </w:pPr>
    </w:p>
    <w:p w14:paraId="04000000">
      <w:pPr>
        <w:ind/>
        <w:jc w:val="center"/>
        <w:rPr>
          <w:rFonts w:ascii="Times New Roman" w:hAnsi="Times New Roman"/>
          <w:b w:val="1"/>
        </w:rPr>
      </w:pPr>
    </w:p>
    <w:p w14:paraId="05000000">
      <w:pPr>
        <w:ind/>
        <w:jc w:val="center"/>
        <w:rPr>
          <w:rFonts w:ascii="Times New Roman" w:hAnsi="Times New Roman"/>
          <w:b w:val="1"/>
        </w:rPr>
      </w:pPr>
    </w:p>
    <w:p w14:paraId="06000000">
      <w:pPr>
        <w:ind/>
        <w:jc w:val="center"/>
        <w:rPr>
          <w:rFonts w:ascii="Times New Roman" w:hAnsi="Times New Roman"/>
          <w:b w:val="1"/>
        </w:rPr>
      </w:pPr>
    </w:p>
    <w:p w14:paraId="07000000">
      <w:pPr>
        <w:ind/>
        <w:jc w:val="center"/>
        <w:rPr>
          <w:rFonts w:ascii="Times New Roman" w:hAnsi="Times New Roman"/>
          <w:b w:val="1"/>
        </w:rPr>
      </w:pPr>
    </w:p>
    <w:p w14:paraId="08000000">
      <w:pPr>
        <w:ind/>
        <w:jc w:val="center"/>
        <w:rPr>
          <w:rFonts w:ascii="Times New Roman" w:hAnsi="Times New Roman"/>
          <w:b w:val="1"/>
        </w:rPr>
      </w:pPr>
    </w:p>
    <w:p w14:paraId="09000000">
      <w:pPr>
        <w:rPr>
          <w:rFonts w:ascii="Times New Roman" w:hAnsi="Times New Roman"/>
          <w:b w:val="1"/>
        </w:rPr>
      </w:pPr>
    </w:p>
    <w:p w14:paraId="0A000000">
      <w:pPr>
        <w:ind/>
        <w:jc w:val="center"/>
        <w:rPr>
          <w:rFonts w:ascii="Times New Roman" w:hAnsi="Times New Roman"/>
          <w:b w:val="1"/>
        </w:rPr>
      </w:pPr>
    </w:p>
    <w:p w14:paraId="0B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Об утверждении </w:t>
      </w:r>
      <w:r>
        <w:rPr>
          <w:rFonts w:ascii="PT Astra Serif" w:hAnsi="PT Astra Serif"/>
          <w:b w:val="1"/>
          <w:sz w:val="28"/>
        </w:rPr>
        <w:t xml:space="preserve">схем расположения земельных участков </w:t>
      </w:r>
    </w:p>
    <w:p w14:paraId="0C000000">
      <w:pPr>
        <w:tabs>
          <w:tab w:leader="none" w:pos="709" w:val="left"/>
        </w:tabs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под многоквартирными жилыми домами</w:t>
      </w:r>
    </w:p>
    <w:p w14:paraId="0D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0E000000">
      <w:pPr>
        <w:spacing w:after="0" w:line="240" w:lineRule="auto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со ст. 11.10 Земельного кодекса</w:t>
      </w:r>
      <w:r>
        <w:rPr>
          <w:rFonts w:ascii="PT Astra Serif" w:hAnsi="PT Astra Serif"/>
          <w:sz w:val="28"/>
        </w:rPr>
        <w:t xml:space="preserve"> Российской Федерации, </w:t>
      </w:r>
      <w:r>
        <w:rPr>
          <w:rFonts w:ascii="PT Astra Serif" w:hAnsi="PT Astra Serif"/>
          <w:sz w:val="28"/>
        </w:rPr>
        <w:t xml:space="preserve">                  </w:t>
      </w:r>
      <w:r>
        <w:rPr>
          <w:rFonts w:ascii="PT Astra Serif" w:hAnsi="PT Astra Serif"/>
          <w:sz w:val="28"/>
        </w:rPr>
        <w:t>ст. 43, 57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 Градостроительного кодекса Российской Федерации, Федеральным законом от 06.10.2003 года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131-ФЗ «Об общих принципах организации местного самоуправления в Российской Федерации», Федеральным законом от 18.06.2001 года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78-ФЗ «О землеустройстве», Федеральным законом от 24.07.2007 года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221-ФЗ «О государственном кадастре недвижимости», </w:t>
      </w:r>
      <w:r>
        <w:rPr>
          <w:rFonts w:ascii="PT Astra Serif" w:hAnsi="PT Astra Serif"/>
          <w:sz w:val="28"/>
        </w:rPr>
        <w:t xml:space="preserve">Федеральным законом от 24.07.2007 года № 221-ФЗ «О государственном кадастре недвижимости», </w:t>
      </w:r>
      <w:r>
        <w:rPr>
          <w:rFonts w:ascii="PT Astra Serif" w:hAnsi="PT Astra Serif"/>
          <w:sz w:val="28"/>
        </w:rPr>
        <w:t>Федеральны</w:t>
      </w:r>
      <w:r>
        <w:rPr>
          <w:rFonts w:ascii="PT Astra Serif" w:hAnsi="PT Astra Serif"/>
          <w:sz w:val="28"/>
        </w:rPr>
        <w:t>м</w:t>
      </w:r>
      <w:r>
        <w:rPr>
          <w:rFonts w:ascii="PT Astra Serif" w:hAnsi="PT Astra Serif"/>
          <w:sz w:val="28"/>
        </w:rPr>
        <w:t> закон</w:t>
      </w:r>
      <w:r>
        <w:rPr>
          <w:rFonts w:ascii="PT Astra Serif" w:hAnsi="PT Astra Serif"/>
          <w:sz w:val="28"/>
        </w:rPr>
        <w:t>ом</w:t>
      </w:r>
      <w:r>
        <w:rPr>
          <w:rFonts w:ascii="PT Astra Serif" w:hAnsi="PT Astra Serif"/>
          <w:sz w:val="28"/>
        </w:rPr>
        <w:t xml:space="preserve">  от </w:t>
      </w:r>
      <w:r>
        <w:rPr>
          <w:rFonts w:ascii="PT Astra Serif" w:hAnsi="PT Astra Serif"/>
          <w:sz w:val="28"/>
        </w:rPr>
        <w:t>30</w:t>
      </w:r>
      <w:r>
        <w:rPr>
          <w:rFonts w:ascii="PT Astra Serif" w:hAnsi="PT Astra Serif"/>
          <w:sz w:val="28"/>
        </w:rPr>
        <w:t>.1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.20</w:t>
      </w:r>
      <w:r>
        <w:rPr>
          <w:rFonts w:ascii="PT Astra Serif" w:hAnsi="PT Astra Serif"/>
          <w:sz w:val="28"/>
        </w:rPr>
        <w:t>21</w:t>
      </w:r>
      <w:r>
        <w:rPr>
          <w:rFonts w:ascii="PT Astra Serif" w:hAnsi="PT Astra Serif"/>
          <w:sz w:val="28"/>
        </w:rPr>
        <w:t xml:space="preserve"> № </w:t>
      </w:r>
      <w:r>
        <w:rPr>
          <w:rFonts w:ascii="PT Astra Serif" w:hAnsi="PT Astra Serif"/>
          <w:sz w:val="28"/>
        </w:rPr>
        <w:t>478</w:t>
      </w:r>
      <w:r>
        <w:rPr>
          <w:rFonts w:ascii="PT Astra Serif" w:hAnsi="PT Astra Serif"/>
          <w:sz w:val="28"/>
        </w:rPr>
        <w:t>-ФЗ «О</w:t>
      </w:r>
      <w:r>
        <w:rPr>
          <w:rFonts w:ascii="PT Astra Serif" w:hAnsi="PT Astra Serif"/>
          <w:sz w:val="28"/>
        </w:rPr>
        <w:t xml:space="preserve"> внесении изменений в отдельные законодательные акты Российской Федерации», </w:t>
      </w:r>
      <w:r>
        <w:rPr>
          <w:rFonts w:ascii="PT Astra Serif" w:hAnsi="PT Astra Serif"/>
          <w:sz w:val="28"/>
        </w:rPr>
        <w:t xml:space="preserve">Правилами землепользования и застройки муниципального образования город Донской, утвержденными </w:t>
      </w:r>
      <w:r>
        <w:rPr>
          <w:rFonts w:ascii="PT Astra Serif" w:hAnsi="PT Astra Serif"/>
          <w:sz w:val="28"/>
        </w:rPr>
        <w:t>постановлением администрации муниципального образования город Донской</w:t>
      </w:r>
      <w:r>
        <w:rPr>
          <w:rFonts w:ascii="PT Astra Serif" w:hAnsi="PT Astra Serif"/>
          <w:sz w:val="28"/>
        </w:rPr>
        <w:t xml:space="preserve"> от </w:t>
      </w:r>
      <w:r>
        <w:rPr>
          <w:rFonts w:ascii="PT Astra Serif" w:hAnsi="PT Astra Serif"/>
          <w:sz w:val="28"/>
        </w:rPr>
        <w:t>15</w:t>
      </w:r>
      <w:r>
        <w:rPr>
          <w:rFonts w:ascii="PT Astra Serif" w:hAnsi="PT Astra Serif"/>
          <w:sz w:val="28"/>
        </w:rPr>
        <w:t>.0</w:t>
      </w: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>.20</w:t>
      </w:r>
      <w:r>
        <w:rPr>
          <w:rFonts w:ascii="PT Astra Serif" w:hAnsi="PT Astra Serif"/>
          <w:sz w:val="28"/>
        </w:rPr>
        <w:t>22</w:t>
      </w:r>
      <w:r>
        <w:rPr>
          <w:rFonts w:ascii="PT Astra Serif" w:hAnsi="PT Astra Serif"/>
          <w:sz w:val="28"/>
        </w:rPr>
        <w:t xml:space="preserve"> года № </w:t>
      </w:r>
      <w:r>
        <w:rPr>
          <w:rFonts w:ascii="PT Astra Serif" w:hAnsi="PT Astra Serif"/>
          <w:sz w:val="28"/>
        </w:rPr>
        <w:t>836 «Об утверждении Правил землепользования и застройки муниципального образования город Донской»</w:t>
      </w:r>
      <w:r>
        <w:rPr>
          <w:rFonts w:ascii="PT Astra Serif" w:hAnsi="PT Astra Serif"/>
          <w:sz w:val="28"/>
        </w:rPr>
        <w:t xml:space="preserve">, на основании Устава муниципального образования город Донской, рассмотрев итоговый документ – заключение о результатах проведения публичных слушаний от 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11</w:t>
      </w:r>
      <w:r>
        <w:rPr>
          <w:rFonts w:ascii="PT Astra Serif" w:hAnsi="PT Astra Serif"/>
          <w:sz w:val="28"/>
        </w:rPr>
        <w:t>.202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 года, администрация муниципального образования город Донской </w:t>
      </w:r>
      <w:r>
        <w:rPr>
          <w:rFonts w:ascii="PT Astra Serif" w:hAnsi="PT Astra Serif"/>
          <w:sz w:val="28"/>
        </w:rPr>
        <w:t>ПОСТАНОВЛЯЕТ:</w:t>
      </w:r>
    </w:p>
    <w:p w14:paraId="0F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Утвердить </w:t>
      </w:r>
      <w:r>
        <w:rPr>
          <w:rFonts w:ascii="PT Astra Serif" w:hAnsi="PT Astra Serif"/>
          <w:sz w:val="28"/>
        </w:rPr>
        <w:t xml:space="preserve">схемы расположения земельных участков под многоквартирными жилыми домами: </w:t>
      </w:r>
    </w:p>
    <w:p w14:paraId="10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 xml:space="preserve">по образованию земельных участков, расположенных </w:t>
      </w:r>
      <w:r>
        <w:rPr>
          <w:rFonts w:ascii="PT Astra Serif" w:hAnsi="PT Astra Serif"/>
          <w:sz w:val="28"/>
        </w:rPr>
        <w:t>по адресу: Тул</w:t>
      </w:r>
      <w:r>
        <w:rPr>
          <w:rFonts w:ascii="PT Astra Serif" w:hAnsi="PT Astra Serif"/>
          <w:sz w:val="28"/>
        </w:rPr>
        <w:t xml:space="preserve">ьская область,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Центральный</w:t>
      </w:r>
      <w:r>
        <w:rPr>
          <w:rFonts w:ascii="PT Astra Serif" w:hAnsi="PT Astra Serif"/>
          <w:sz w:val="28"/>
        </w:rPr>
        <w:t xml:space="preserve">: </w:t>
      </w:r>
    </w:p>
    <w:p w14:paraId="11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</w:t>
      </w:r>
      <w:r>
        <w:rPr>
          <w:rFonts w:ascii="PT Astra Serif" w:hAnsi="PT Astra Serif"/>
          <w:sz w:val="28"/>
        </w:rPr>
        <w:t xml:space="preserve">ул. </w:t>
      </w:r>
      <w:r>
        <w:rPr>
          <w:rFonts w:ascii="PT Astra Serif" w:hAnsi="PT Astra Serif"/>
          <w:sz w:val="28"/>
        </w:rPr>
        <w:t>Кирова</w:t>
      </w:r>
      <w:r>
        <w:rPr>
          <w:rFonts w:ascii="PT Astra Serif" w:hAnsi="PT Astra Serif"/>
          <w:sz w:val="28"/>
        </w:rPr>
        <w:t xml:space="preserve">, д. </w:t>
      </w:r>
      <w:r>
        <w:rPr>
          <w:rFonts w:ascii="PT Astra Serif" w:hAnsi="PT Astra Serif"/>
          <w:sz w:val="28"/>
        </w:rPr>
        <w:t>24/70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с разрешенным использованием </w:t>
      </w:r>
      <w:r>
        <w:rPr>
          <w:rFonts w:ascii="PT Astra Serif" w:hAnsi="PT Astra Serif"/>
          <w:sz w:val="28"/>
        </w:rPr>
        <w:t xml:space="preserve">малоэтажная многоквартирная жилая застройка, общей </w:t>
      </w:r>
      <w:r>
        <w:rPr>
          <w:rFonts w:ascii="PT Astra Serif" w:hAnsi="PT Astra Serif"/>
          <w:sz w:val="28"/>
        </w:rPr>
        <w:t xml:space="preserve">площадью </w:t>
      </w:r>
      <w:r>
        <w:rPr>
          <w:rFonts w:ascii="PT Astra Serif" w:hAnsi="PT Astra Serif"/>
          <w:sz w:val="28"/>
        </w:rPr>
        <w:t>879</w:t>
      </w:r>
      <w:r>
        <w:rPr>
          <w:rFonts w:ascii="PT Astra Serif" w:hAnsi="PT Astra Serif"/>
          <w:sz w:val="28"/>
        </w:rPr>
        <w:t xml:space="preserve">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 (приложение 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);</w:t>
      </w:r>
    </w:p>
    <w:p w14:paraId="12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ул. </w:t>
      </w:r>
      <w:r>
        <w:rPr>
          <w:rFonts w:ascii="PT Astra Serif" w:hAnsi="PT Astra Serif"/>
          <w:sz w:val="28"/>
        </w:rPr>
        <w:t>Кирова</w:t>
      </w:r>
      <w:r>
        <w:rPr>
          <w:rFonts w:ascii="PT Astra Serif" w:hAnsi="PT Astra Serif"/>
          <w:sz w:val="28"/>
        </w:rPr>
        <w:t xml:space="preserve">, д. </w:t>
      </w:r>
      <w:r>
        <w:rPr>
          <w:rFonts w:ascii="PT Astra Serif" w:hAnsi="PT Astra Serif"/>
          <w:sz w:val="28"/>
        </w:rPr>
        <w:t>26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с разрешенным использованием </w:t>
      </w:r>
      <w:r>
        <w:rPr>
          <w:rFonts w:ascii="PT Astra Serif" w:hAnsi="PT Astra Serif"/>
          <w:sz w:val="28"/>
        </w:rPr>
        <w:t xml:space="preserve">малоэтажная многоквартирная жилая застройка, общей </w:t>
      </w:r>
      <w:r>
        <w:rPr>
          <w:rFonts w:ascii="PT Astra Serif" w:hAnsi="PT Astra Serif"/>
          <w:sz w:val="28"/>
        </w:rPr>
        <w:t xml:space="preserve">площадью </w:t>
      </w:r>
      <w:r>
        <w:rPr>
          <w:rFonts w:ascii="PT Astra Serif" w:hAnsi="PT Astra Serif"/>
          <w:sz w:val="28"/>
        </w:rPr>
        <w:t>1077</w:t>
      </w:r>
      <w:r>
        <w:rPr>
          <w:rFonts w:ascii="PT Astra Serif" w:hAnsi="PT Astra Serif"/>
          <w:sz w:val="28"/>
        </w:rPr>
        <w:t xml:space="preserve">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 (приложение 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>;</w:t>
      </w:r>
    </w:p>
    <w:p w14:paraId="13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ул. </w:t>
      </w:r>
      <w:r>
        <w:rPr>
          <w:rFonts w:ascii="PT Astra Serif" w:hAnsi="PT Astra Serif"/>
          <w:sz w:val="28"/>
        </w:rPr>
        <w:t>Комсомольская</w:t>
      </w:r>
      <w:r>
        <w:rPr>
          <w:rFonts w:ascii="PT Astra Serif" w:hAnsi="PT Astra Serif"/>
          <w:sz w:val="28"/>
        </w:rPr>
        <w:t>, д. 2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с разрешенным использованием </w:t>
      </w:r>
      <w:r>
        <w:rPr>
          <w:rFonts w:ascii="PT Astra Serif" w:hAnsi="PT Astra Serif"/>
          <w:sz w:val="28"/>
        </w:rPr>
        <w:t xml:space="preserve">малоэтажная многоквартирная жилая застройка, общей </w:t>
      </w:r>
      <w:r>
        <w:rPr>
          <w:rFonts w:ascii="PT Astra Serif" w:hAnsi="PT Astra Serif"/>
          <w:sz w:val="28"/>
        </w:rPr>
        <w:t>площадью 1</w:t>
      </w:r>
      <w:r>
        <w:rPr>
          <w:rFonts w:ascii="PT Astra Serif" w:hAnsi="PT Astra Serif"/>
          <w:sz w:val="28"/>
        </w:rPr>
        <w:t>002</w:t>
      </w:r>
      <w:r>
        <w:rPr>
          <w:rFonts w:ascii="PT Astra Serif" w:hAnsi="PT Astra Serif"/>
          <w:sz w:val="28"/>
        </w:rPr>
        <w:t xml:space="preserve">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 (приложение 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>;</w:t>
      </w:r>
    </w:p>
    <w:p w14:paraId="14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4) </w:t>
      </w:r>
      <w:r>
        <w:rPr>
          <w:rFonts w:ascii="PT Astra Serif" w:hAnsi="PT Astra Serif"/>
          <w:sz w:val="28"/>
        </w:rPr>
        <w:t>пер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Трудовой</w:t>
      </w:r>
      <w:r>
        <w:rPr>
          <w:rFonts w:ascii="PT Astra Serif" w:hAnsi="PT Astra Serif"/>
          <w:sz w:val="28"/>
        </w:rPr>
        <w:t>, д. 1</w:t>
      </w:r>
      <w:r>
        <w:rPr>
          <w:rFonts w:ascii="PT Astra Serif" w:hAnsi="PT Astra Serif"/>
          <w:sz w:val="28"/>
        </w:rPr>
        <w:t>/15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с разрешенным использованием </w:t>
      </w:r>
      <w:r>
        <w:rPr>
          <w:rFonts w:ascii="PT Astra Serif" w:hAnsi="PT Astra Serif"/>
          <w:sz w:val="28"/>
        </w:rPr>
        <w:t xml:space="preserve">малоэтажная многоквартирная жилая застройка, общей </w:t>
      </w:r>
      <w:r>
        <w:rPr>
          <w:rFonts w:ascii="PT Astra Serif" w:hAnsi="PT Astra Serif"/>
          <w:sz w:val="28"/>
        </w:rPr>
        <w:t>площадью 1</w:t>
      </w:r>
      <w:r>
        <w:rPr>
          <w:rFonts w:ascii="PT Astra Serif" w:hAnsi="PT Astra Serif"/>
          <w:sz w:val="28"/>
        </w:rPr>
        <w:t>448</w:t>
      </w:r>
      <w:r>
        <w:rPr>
          <w:rFonts w:ascii="PT Astra Serif" w:hAnsi="PT Astra Serif"/>
          <w:sz w:val="28"/>
        </w:rPr>
        <w:t xml:space="preserve">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 (приложение 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>;</w:t>
      </w:r>
    </w:p>
    <w:p w14:paraId="15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5) ул. </w:t>
      </w:r>
      <w:r>
        <w:rPr>
          <w:rFonts w:ascii="PT Astra Serif" w:hAnsi="PT Astra Serif"/>
          <w:sz w:val="28"/>
        </w:rPr>
        <w:t>Тургенева</w:t>
      </w:r>
      <w:r>
        <w:rPr>
          <w:rFonts w:ascii="PT Astra Serif" w:hAnsi="PT Astra Serif"/>
          <w:sz w:val="28"/>
        </w:rPr>
        <w:t xml:space="preserve">, д. 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с разрешенным использованием </w:t>
      </w:r>
      <w:r>
        <w:rPr>
          <w:rFonts w:ascii="PT Astra Serif" w:hAnsi="PT Astra Serif"/>
          <w:sz w:val="28"/>
        </w:rPr>
        <w:t xml:space="preserve">малоэтажная многоквартирная жилая застройка, общей </w:t>
      </w:r>
      <w:r>
        <w:rPr>
          <w:rFonts w:ascii="PT Astra Serif" w:hAnsi="PT Astra Serif"/>
          <w:sz w:val="28"/>
        </w:rPr>
        <w:t>площадью 1</w:t>
      </w:r>
      <w:r>
        <w:rPr>
          <w:rFonts w:ascii="PT Astra Serif" w:hAnsi="PT Astra Serif"/>
          <w:sz w:val="28"/>
        </w:rPr>
        <w:t>354</w:t>
      </w:r>
      <w:r>
        <w:rPr>
          <w:rFonts w:ascii="PT Astra Serif" w:hAnsi="PT Astra Serif"/>
          <w:sz w:val="28"/>
        </w:rPr>
        <w:t xml:space="preserve">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 (приложение 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>;</w:t>
      </w:r>
    </w:p>
    <w:p w14:paraId="16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6) ул. </w:t>
      </w:r>
      <w:r>
        <w:rPr>
          <w:rFonts w:ascii="PT Astra Serif" w:hAnsi="PT Astra Serif"/>
          <w:sz w:val="28"/>
        </w:rPr>
        <w:t>30 лет Победы</w:t>
      </w:r>
      <w:r>
        <w:rPr>
          <w:rFonts w:ascii="PT Astra Serif" w:hAnsi="PT Astra Serif"/>
          <w:sz w:val="28"/>
        </w:rPr>
        <w:t xml:space="preserve">, д. </w:t>
      </w: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с разрешенным использованием </w:t>
      </w:r>
      <w:r>
        <w:rPr>
          <w:rFonts w:ascii="PT Astra Serif" w:hAnsi="PT Astra Serif"/>
          <w:sz w:val="28"/>
        </w:rPr>
        <w:t xml:space="preserve">малоэтажная многоквартирная жилая застройка, общей </w:t>
      </w:r>
      <w:r>
        <w:rPr>
          <w:rFonts w:ascii="PT Astra Serif" w:hAnsi="PT Astra Serif"/>
          <w:sz w:val="28"/>
        </w:rPr>
        <w:t>площадью 221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(</w:t>
      </w:r>
      <w:r>
        <w:rPr>
          <w:rFonts w:ascii="PT Astra Serif" w:hAnsi="PT Astra Serif"/>
          <w:color w:val="000000"/>
          <w:sz w:val="28"/>
        </w:rPr>
        <w:t>приложение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6</w:t>
      </w:r>
      <w:r>
        <w:rPr>
          <w:rFonts w:ascii="PT Astra Serif" w:hAnsi="PT Astra Serif"/>
          <w:color w:val="000000"/>
          <w:sz w:val="28"/>
        </w:rPr>
        <w:t>)</w:t>
      </w:r>
      <w:r>
        <w:rPr>
          <w:rFonts w:ascii="PT Astra Serif" w:hAnsi="PT Astra Serif"/>
          <w:sz w:val="28"/>
        </w:rPr>
        <w:t>;</w:t>
      </w:r>
    </w:p>
    <w:p w14:paraId="17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7) ул. </w:t>
      </w:r>
      <w:r>
        <w:rPr>
          <w:rFonts w:ascii="PT Astra Serif" w:hAnsi="PT Astra Serif"/>
          <w:sz w:val="28"/>
        </w:rPr>
        <w:t>30 лет Победы</w:t>
      </w:r>
      <w:r>
        <w:rPr>
          <w:rFonts w:ascii="PT Astra Serif" w:hAnsi="PT Astra Serif"/>
          <w:sz w:val="28"/>
        </w:rPr>
        <w:t>, д. 1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с разрешенным использованием </w:t>
      </w:r>
      <w:r>
        <w:rPr>
          <w:rFonts w:ascii="PT Astra Serif" w:hAnsi="PT Astra Serif"/>
          <w:sz w:val="28"/>
        </w:rPr>
        <w:t xml:space="preserve">малоэтажная многоквартирная жилая застройка, общей </w:t>
      </w:r>
      <w:r>
        <w:rPr>
          <w:rFonts w:ascii="PT Astra Serif" w:hAnsi="PT Astra Serif"/>
          <w:sz w:val="28"/>
        </w:rPr>
        <w:t>площадью 3</w:t>
      </w:r>
      <w:r>
        <w:rPr>
          <w:rFonts w:ascii="PT Astra Serif" w:hAnsi="PT Astra Serif"/>
          <w:sz w:val="28"/>
        </w:rPr>
        <w:t>320</w:t>
      </w:r>
      <w:r>
        <w:rPr>
          <w:rFonts w:ascii="PT Astra Serif" w:hAnsi="PT Astra Serif"/>
          <w:sz w:val="28"/>
        </w:rPr>
        <w:t xml:space="preserve">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color w:val="000000"/>
          <w:sz w:val="28"/>
        </w:rPr>
        <w:t>(</w:t>
      </w:r>
      <w:r>
        <w:rPr>
          <w:rFonts w:ascii="PT Astra Serif" w:hAnsi="PT Astra Serif"/>
          <w:color w:val="000000"/>
          <w:sz w:val="28"/>
        </w:rPr>
        <w:t>приложение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7</w:t>
      </w:r>
      <w:r>
        <w:rPr>
          <w:rFonts w:ascii="PT Astra Serif" w:hAnsi="PT Astra Serif"/>
          <w:color w:val="000000"/>
          <w:sz w:val="28"/>
        </w:rPr>
        <w:t>)</w:t>
      </w:r>
      <w:r>
        <w:rPr>
          <w:rFonts w:ascii="PT Astra Serif" w:hAnsi="PT Astra Serif"/>
          <w:sz w:val="28"/>
        </w:rPr>
        <w:t>;</w:t>
      </w:r>
    </w:p>
    <w:p w14:paraId="18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8) ул. Ворошилова, д. 7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с разрешенным использованием </w:t>
      </w:r>
      <w:r>
        <w:rPr>
          <w:rFonts w:ascii="PT Astra Serif" w:hAnsi="PT Astra Serif"/>
          <w:sz w:val="28"/>
        </w:rPr>
        <w:t xml:space="preserve">малоэтажная многоквартирная жилая застройка, общей </w:t>
      </w:r>
      <w:r>
        <w:rPr>
          <w:rFonts w:ascii="PT Astra Serif" w:hAnsi="PT Astra Serif"/>
          <w:sz w:val="28"/>
        </w:rPr>
        <w:t xml:space="preserve">площадью 1220,0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color w:val="000000"/>
          <w:sz w:val="28"/>
        </w:rPr>
        <w:t>(</w:t>
      </w:r>
      <w:r>
        <w:rPr>
          <w:rFonts w:ascii="PT Astra Serif" w:hAnsi="PT Astra Serif"/>
          <w:color w:val="000000"/>
          <w:sz w:val="28"/>
        </w:rPr>
        <w:t>приложение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8</w:t>
      </w:r>
      <w:r>
        <w:rPr>
          <w:rFonts w:ascii="PT Astra Serif" w:hAnsi="PT Astra Serif"/>
          <w:color w:val="000000"/>
          <w:sz w:val="28"/>
        </w:rPr>
        <w:t>)</w:t>
      </w:r>
      <w:r>
        <w:rPr>
          <w:rFonts w:ascii="PT Astra Serif" w:hAnsi="PT Astra Serif"/>
          <w:sz w:val="28"/>
        </w:rPr>
        <w:t>;</w:t>
      </w:r>
    </w:p>
    <w:p w14:paraId="19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9) ул. Ворошилова, д. 9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с разрешенным использованием </w:t>
      </w:r>
      <w:r>
        <w:rPr>
          <w:rFonts w:ascii="PT Astra Serif" w:hAnsi="PT Astra Serif"/>
          <w:sz w:val="28"/>
        </w:rPr>
        <w:t xml:space="preserve">малоэтажная многоквартирная жилая застройка, общей </w:t>
      </w:r>
      <w:r>
        <w:rPr>
          <w:rFonts w:ascii="PT Astra Serif" w:hAnsi="PT Astra Serif"/>
          <w:sz w:val="28"/>
        </w:rPr>
        <w:t xml:space="preserve">площадью 1351,0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color w:val="000000"/>
          <w:sz w:val="28"/>
        </w:rPr>
        <w:t>(</w:t>
      </w:r>
      <w:r>
        <w:rPr>
          <w:rFonts w:ascii="PT Astra Serif" w:hAnsi="PT Astra Serif"/>
          <w:color w:val="000000"/>
          <w:sz w:val="28"/>
        </w:rPr>
        <w:t>приложение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9</w:t>
      </w:r>
      <w:r>
        <w:rPr>
          <w:rFonts w:ascii="PT Astra Serif" w:hAnsi="PT Astra Serif"/>
          <w:color w:val="000000"/>
          <w:sz w:val="28"/>
        </w:rPr>
        <w:t>)</w:t>
      </w:r>
      <w:r>
        <w:rPr>
          <w:rFonts w:ascii="PT Astra Serif" w:hAnsi="PT Astra Serif"/>
          <w:sz w:val="28"/>
        </w:rPr>
        <w:t>;</w:t>
      </w:r>
    </w:p>
    <w:p w14:paraId="1A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10) ул. Ворошилова, д. 11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с разрешенным использованием </w:t>
      </w:r>
      <w:r>
        <w:rPr>
          <w:rFonts w:ascii="PT Astra Serif" w:hAnsi="PT Astra Serif"/>
          <w:sz w:val="28"/>
        </w:rPr>
        <w:t xml:space="preserve">малоэтажная многоквартирная жилая застройка, общей </w:t>
      </w:r>
      <w:r>
        <w:rPr>
          <w:rFonts w:ascii="PT Astra Serif" w:hAnsi="PT Astra Serif"/>
          <w:sz w:val="28"/>
        </w:rPr>
        <w:t xml:space="preserve">площадью 1298,0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color w:val="000000"/>
          <w:sz w:val="28"/>
        </w:rPr>
        <w:t>(</w:t>
      </w:r>
      <w:r>
        <w:rPr>
          <w:rFonts w:ascii="PT Astra Serif" w:hAnsi="PT Astra Serif"/>
          <w:color w:val="000000"/>
          <w:sz w:val="28"/>
        </w:rPr>
        <w:t>приложение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10</w:t>
      </w:r>
      <w:r>
        <w:rPr>
          <w:rFonts w:ascii="PT Astra Serif" w:hAnsi="PT Astra Serif"/>
          <w:color w:val="000000"/>
          <w:sz w:val="28"/>
        </w:rPr>
        <w:t>)</w:t>
      </w:r>
      <w:r>
        <w:rPr>
          <w:rFonts w:ascii="PT Astra Serif" w:hAnsi="PT Astra Serif"/>
          <w:sz w:val="28"/>
        </w:rPr>
        <w:t>;</w:t>
      </w:r>
    </w:p>
    <w:p w14:paraId="1B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11) ул. Герцена, д. 51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с разрешенным использованием </w:t>
      </w:r>
      <w:r>
        <w:rPr>
          <w:rFonts w:ascii="PT Astra Serif" w:hAnsi="PT Astra Serif"/>
          <w:sz w:val="28"/>
        </w:rPr>
        <w:t xml:space="preserve">малоэтажная многоквартирная жилая застройка, общей </w:t>
      </w:r>
      <w:r>
        <w:rPr>
          <w:rFonts w:ascii="PT Astra Serif" w:hAnsi="PT Astra Serif"/>
          <w:sz w:val="28"/>
        </w:rPr>
        <w:t xml:space="preserve">площадью 2328,0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color w:val="000000"/>
          <w:sz w:val="28"/>
        </w:rPr>
        <w:t>(</w:t>
      </w:r>
      <w:r>
        <w:rPr>
          <w:rFonts w:ascii="PT Astra Serif" w:hAnsi="PT Astra Serif"/>
          <w:color w:val="000000"/>
          <w:sz w:val="28"/>
        </w:rPr>
        <w:t>приложение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11</w:t>
      </w:r>
      <w:bookmarkStart w:id="1" w:name="_GoBack"/>
      <w:bookmarkEnd w:id="1"/>
      <w:r>
        <w:rPr>
          <w:rFonts w:ascii="PT Astra Serif" w:hAnsi="PT Astra Serif"/>
          <w:color w:val="000000"/>
          <w:sz w:val="28"/>
        </w:rPr>
        <w:t>)</w:t>
      </w:r>
      <w:r>
        <w:rPr>
          <w:rFonts w:ascii="PT Astra Serif" w:hAnsi="PT Astra Serif"/>
          <w:sz w:val="28"/>
        </w:rPr>
        <w:t>.</w:t>
      </w:r>
    </w:p>
    <w:p w14:paraId="1C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Установить для земельн</w:t>
      </w:r>
      <w:r>
        <w:rPr>
          <w:rFonts w:ascii="PT Astra Serif" w:hAnsi="PT Astra Serif"/>
          <w:sz w:val="28"/>
        </w:rPr>
        <w:t>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участк</w:t>
      </w:r>
      <w:r>
        <w:rPr>
          <w:rFonts w:ascii="PT Astra Serif" w:hAnsi="PT Astra Serif"/>
          <w:sz w:val="28"/>
        </w:rPr>
        <w:t>ов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категори</w:t>
      </w:r>
      <w:r>
        <w:rPr>
          <w:rFonts w:ascii="PT Astra Serif" w:hAnsi="PT Astra Serif"/>
          <w:sz w:val="28"/>
        </w:rPr>
        <w:t>ю</w:t>
      </w:r>
      <w:r>
        <w:rPr>
          <w:rFonts w:ascii="PT Astra Serif" w:hAnsi="PT Astra Serif"/>
          <w:sz w:val="28"/>
        </w:rPr>
        <w:t xml:space="preserve"> земель – земли населенных пунктов</w:t>
      </w:r>
      <w:r>
        <w:rPr>
          <w:rFonts w:ascii="PT Astra Serif" w:hAnsi="PT Astra Serif"/>
          <w:sz w:val="28"/>
        </w:rPr>
        <w:t>.</w:t>
      </w:r>
    </w:p>
    <w:p w14:paraId="1D000000">
      <w:pPr>
        <w:spacing w:after="0" w:line="240" w:lineRule="auto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 xml:space="preserve">Комитету по делопроизводству, обращениям граждан и информационным технологиям </w:t>
      </w:r>
      <w:r>
        <w:rPr>
          <w:rFonts w:ascii="PT Astra Serif" w:hAnsi="PT Astra Serif"/>
          <w:sz w:val="28"/>
        </w:rPr>
        <w:t>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в сети «Интернет», и обеспечить его опубликование в газете «Муниципальные вести».</w:t>
      </w:r>
    </w:p>
    <w:p w14:paraId="1E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. Постановление вступает в силу со дня </w:t>
      </w:r>
      <w:r>
        <w:rPr>
          <w:rFonts w:ascii="PT Astra Serif" w:hAnsi="PT Astra Serif"/>
          <w:sz w:val="28"/>
        </w:rPr>
        <w:t>подписания</w:t>
      </w:r>
      <w:r>
        <w:rPr>
          <w:rFonts w:ascii="PT Astra Serif" w:hAnsi="PT Astra Serif"/>
          <w:sz w:val="28"/>
        </w:rPr>
        <w:t xml:space="preserve">. </w:t>
      </w:r>
    </w:p>
    <w:p w14:paraId="1F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20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21000000">
      <w:pPr>
        <w:spacing w:after="0" w:line="240" w:lineRule="auto"/>
        <w:ind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     Г</w:t>
      </w:r>
      <w:r>
        <w:rPr>
          <w:rFonts w:ascii="PT Astra Serif" w:hAnsi="PT Astra Serif"/>
          <w:b w:val="1"/>
          <w:sz w:val="28"/>
        </w:rPr>
        <w:t>лав</w:t>
      </w:r>
      <w:r>
        <w:rPr>
          <w:rFonts w:ascii="PT Astra Serif" w:hAnsi="PT Astra Serif"/>
          <w:b w:val="1"/>
          <w:sz w:val="28"/>
        </w:rPr>
        <w:t>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 xml:space="preserve">администрации                                                                               </w:t>
      </w:r>
    </w:p>
    <w:p w14:paraId="22000000">
      <w:pPr>
        <w:spacing w:after="0" w:line="240" w:lineRule="auto"/>
        <w:ind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муниципального образования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 xml:space="preserve">      </w:t>
      </w:r>
      <w:r>
        <w:rPr>
          <w:rFonts w:ascii="PT Astra Serif" w:hAnsi="PT Astra Serif"/>
          <w:b w:val="1"/>
          <w:sz w:val="28"/>
        </w:rPr>
        <w:t xml:space="preserve">       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 xml:space="preserve">город Донской  </w:t>
      </w:r>
      <w:r>
        <w:rPr>
          <w:rFonts w:ascii="PT Astra Serif" w:hAnsi="PT Astra Serif"/>
          <w:b w:val="1"/>
          <w:sz w:val="28"/>
        </w:rPr>
        <w:t xml:space="preserve">                                                                      </w:t>
      </w:r>
      <w:r>
        <w:rPr>
          <w:rFonts w:ascii="PT Astra Serif" w:hAnsi="PT Astra Serif"/>
          <w:b w:val="1"/>
          <w:sz w:val="28"/>
        </w:rPr>
        <w:t>С.Г. Кулик</w:t>
      </w:r>
    </w:p>
    <w:sectPr>
      <w:footerReference r:id="rId1" w:type="default"/>
      <w:pgSz w:h="16838" w:orient="portrait" w:w="11906"/>
      <w:pgMar w:bottom="568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er"/>
    <w:basedOn w:val="Style_2"/>
    <w:link w:val="Style_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7_ch" w:type="character">
    <w:name w:val="header"/>
    <w:basedOn w:val="Style_2_ch"/>
    <w:link w:val="Style_7"/>
  </w:style>
  <w:style w:styleId="Style_1" w:type="paragraph">
    <w:name w:val="foot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2_ch"/>
    <w:link w:val="Style_1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List Paragraph"/>
    <w:basedOn w:val="Style_2"/>
    <w:link w:val="Style_11_ch"/>
    <w:pPr>
      <w:ind w:firstLine="0" w:left="720"/>
      <w:contextualSpacing w:val="1"/>
    </w:pPr>
  </w:style>
  <w:style w:styleId="Style_11_ch" w:type="character">
    <w:name w:val="List Paragraph"/>
    <w:basedOn w:val="Style_2_ch"/>
    <w:link w:val="Style_11"/>
  </w:style>
  <w:style w:styleId="Style_12" w:type="paragraph">
    <w:name w:val="ConsPlusNormal"/>
    <w:link w:val="Style_12_ch"/>
    <w:pPr>
      <w:spacing w:after="0" w:line="240" w:lineRule="auto"/>
      <w:ind w:firstLine="720" w:left="0"/>
    </w:pPr>
    <w:rPr>
      <w:rFonts w:ascii="Arial" w:hAnsi="Arial"/>
    </w:rPr>
  </w:style>
  <w:style w:styleId="Style_12_ch" w:type="character">
    <w:name w:val="ConsPlusNormal"/>
    <w:link w:val="Style_12"/>
    <w:rPr>
      <w:rFonts w:ascii="Arial" w:hAnsi="Arial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Balloon Text"/>
    <w:basedOn w:val="Style_2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2_ch"/>
    <w:link w:val="Style_15"/>
    <w:rPr>
      <w:rFonts w:ascii="Tahoma" w:hAnsi="Tahoma"/>
      <w:sz w:val="16"/>
    </w:rPr>
  </w:style>
  <w:style w:styleId="Style_16" w:type="paragraph">
    <w:name w:val="ConsPlusTitle"/>
    <w:link w:val="Style_16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16_ch" w:type="character">
    <w:name w:val="ConsPlusTitle"/>
    <w:link w:val="Style_16"/>
    <w:rPr>
      <w:rFonts w:ascii="Times New Roman" w:hAnsi="Times New Roman"/>
      <w:b w:val="1"/>
      <w:sz w:val="24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2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2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2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2024-12-12T13:21:33Z</dcterms:modified>
</cp:coreProperties>
</file>