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8" w:left="1416"/>
        <w:rPr>
          <w:rFonts w:ascii="PT Astra Serif" w:hAnsi="PT Astra Serif"/>
          <w:b w:val="1"/>
          <w:i w:val="1"/>
        </w:rPr>
      </w:pPr>
    </w:p>
    <w:p w14:paraId="02000000">
      <w:pPr>
        <w:pStyle w:val="Style_1"/>
        <w:ind w:firstLine="708" w:left="1416"/>
        <w:rPr>
          <w:rFonts w:ascii="PT Astra Serif" w:hAnsi="PT Astra Serif"/>
          <w:b w:val="1"/>
          <w:i w:val="1"/>
        </w:rPr>
      </w:pPr>
    </w:p>
    <w:p w14:paraId="03000000">
      <w:pPr>
        <w:pStyle w:val="Style_1"/>
        <w:ind w:firstLine="708" w:left="1416"/>
        <w:rPr>
          <w:rFonts w:ascii="PT Astra Serif" w:hAnsi="PT Astra Serif"/>
          <w:b w:val="1"/>
          <w:i w:val="1"/>
        </w:rPr>
      </w:pPr>
    </w:p>
    <w:p w14:paraId="04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</w:rPr>
      </w:pPr>
    </w:p>
    <w:p w14:paraId="05000000">
      <w:pPr>
        <w:ind/>
        <w:jc w:val="center"/>
        <w:rPr>
          <w:rFonts w:ascii="PT Astra Serif" w:hAnsi="PT Astra Serif"/>
          <w:b w:val="1"/>
        </w:rPr>
      </w:pPr>
    </w:p>
    <w:p w14:paraId="06000000">
      <w:pPr>
        <w:ind/>
        <w:jc w:val="center"/>
        <w:rPr>
          <w:rFonts w:ascii="PT Astra Serif" w:hAnsi="PT Astra Serif"/>
          <w:b w:val="1"/>
        </w:rPr>
      </w:pPr>
    </w:p>
    <w:p w14:paraId="07000000">
      <w:pPr>
        <w:ind/>
        <w:jc w:val="center"/>
        <w:rPr>
          <w:rFonts w:ascii="PT Astra Serif" w:hAnsi="PT Astra Serif"/>
          <w:b w:val="1"/>
        </w:rPr>
      </w:pPr>
    </w:p>
    <w:p w14:paraId="08000000">
      <w:pPr>
        <w:ind/>
        <w:jc w:val="center"/>
        <w:rPr>
          <w:rFonts w:ascii="PT Astra Serif" w:hAnsi="PT Astra Serif"/>
          <w:b w:val="1"/>
        </w:rPr>
      </w:pPr>
    </w:p>
    <w:p w14:paraId="09000000">
      <w:pPr>
        <w:ind/>
        <w:jc w:val="center"/>
        <w:rPr>
          <w:rFonts w:ascii="PT Astra Serif" w:hAnsi="PT Astra Serif"/>
          <w:b w:val="1"/>
        </w:rPr>
      </w:pPr>
    </w:p>
    <w:p w14:paraId="0A000000">
      <w:pPr>
        <w:ind/>
        <w:jc w:val="center"/>
        <w:rPr>
          <w:rFonts w:ascii="PT Astra Serif" w:hAnsi="PT Astra Serif"/>
          <w:b w:val="1"/>
        </w:rPr>
      </w:pPr>
    </w:p>
    <w:p w14:paraId="0B000000">
      <w:pPr>
        <w:ind/>
        <w:jc w:val="center"/>
        <w:rPr>
          <w:rFonts w:ascii="PT Astra Serif" w:hAnsi="PT Astra Serif"/>
          <w:b w:val="1"/>
        </w:rPr>
      </w:pPr>
    </w:p>
    <w:p w14:paraId="0C000000">
      <w:pPr>
        <w:ind/>
        <w:jc w:val="center"/>
        <w:rPr>
          <w:rFonts w:ascii="PT Astra Serif" w:hAnsi="PT Astra Serif"/>
          <w:b w:val="1"/>
        </w:rPr>
      </w:pPr>
    </w:p>
    <w:p w14:paraId="0D000000">
      <w:pPr>
        <w:ind/>
        <w:jc w:val="center"/>
        <w:rPr>
          <w:rFonts w:ascii="PT Astra Serif" w:hAnsi="PT Astra Serif"/>
          <w:b w:val="1"/>
        </w:rPr>
      </w:pPr>
    </w:p>
    <w:p w14:paraId="0E000000">
      <w:pPr>
        <w:ind/>
        <w:jc w:val="center"/>
        <w:rPr>
          <w:rFonts w:ascii="PT Astra Serif" w:hAnsi="PT Astra Serif"/>
          <w:b w:val="1"/>
        </w:rPr>
      </w:pPr>
    </w:p>
    <w:p w14:paraId="0F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О внесении </w:t>
      </w:r>
      <w:r>
        <w:rPr>
          <w:rFonts w:ascii="PT Astra Serif" w:hAnsi="PT Astra Serif"/>
          <w:b w:val="1"/>
        </w:rPr>
        <w:t>дополнен</w:t>
      </w:r>
      <w:r>
        <w:rPr>
          <w:rFonts w:ascii="PT Astra Serif" w:hAnsi="PT Astra Serif"/>
          <w:b w:val="1"/>
        </w:rPr>
        <w:t xml:space="preserve">ий в постановление администрации муниципального образования город Донской от 09.04.2024 года </w:t>
      </w:r>
    </w:p>
    <w:p w14:paraId="10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№ 415 «Об утверждении Положения о системе оплаты труда работников муниципального казенного учреждения «Единая дежурно-диспетчерская служба муниципального образования город Донской»</w:t>
      </w:r>
    </w:p>
    <w:p w14:paraId="11000000">
      <w:pPr>
        <w:ind/>
        <w:jc w:val="center"/>
        <w:rPr>
          <w:rFonts w:ascii="PT Astra Serif" w:hAnsi="PT Astra Serif"/>
        </w:rPr>
      </w:pPr>
    </w:p>
    <w:p w14:paraId="12000000">
      <w:pPr>
        <w:tabs>
          <w:tab w:leader="none" w:pos="720" w:val="left"/>
        </w:tabs>
        <w:ind w:firstLine="70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Руководствуясь с законом Тульской области от 31.05.2018 №28-ЗТО «О </w:t>
      </w:r>
      <w:r>
        <w:rPr>
          <w:rFonts w:ascii="PT Astra Serif" w:hAnsi="PT Astra Serif"/>
        </w:rPr>
        <w:t>регулировании отдельных вопросов в сфере трудовых отношений», 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</w:t>
      </w:r>
      <w:r>
        <w:rPr>
          <w:rFonts w:ascii="PT Astra Serif" w:hAnsi="PT Astra Serif"/>
        </w:rPr>
        <w:t>, на 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</w:rPr>
        <w:t xml:space="preserve"> ПОСТАНОВЛЯЕТ:</w:t>
      </w:r>
      <w:r>
        <w:rPr>
          <w:rFonts w:ascii="PT Astra Serif" w:hAnsi="PT Astra Serif"/>
        </w:rPr>
        <w:t xml:space="preserve"> </w:t>
      </w:r>
    </w:p>
    <w:p w14:paraId="13000000">
      <w:pPr>
        <w:tabs>
          <w:tab w:leader="none" w:pos="720" w:val="left"/>
        </w:tabs>
        <w:ind w:firstLine="700" w:left="0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 xml:space="preserve">1. Внести в постановление администрации муниципального образования город Донской от 09.04.2024 года № 415 «Об утверждении Положения о системе оплаты труда работников муниципального казенного учреждения «Единая дежурно-диспетчерская служба муниципального образования город Донской» следующие </w:t>
      </w:r>
      <w:r>
        <w:rPr>
          <w:rFonts w:ascii="PT Astra Serif" w:hAnsi="PT Astra Serif"/>
        </w:rPr>
        <w:t>допол</w:t>
      </w:r>
      <w:r>
        <w:rPr>
          <w:rFonts w:ascii="PT Astra Serif" w:hAnsi="PT Astra Serif"/>
        </w:rPr>
        <w:t>нения:</w:t>
      </w:r>
    </w:p>
    <w:p w14:paraId="14000000">
      <w:pPr>
        <w:tabs>
          <w:tab w:leader="none" w:pos="720" w:val="left"/>
        </w:tabs>
        <w:ind w:firstLine="700" w:left="0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000000"/>
        </w:rPr>
        <w:t xml:space="preserve">1.1 </w:t>
      </w:r>
      <w:r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 xml:space="preserve">ункт 2.5 раздела 2 приложения к </w:t>
      </w:r>
      <w:r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 xml:space="preserve">остановлению </w:t>
      </w:r>
      <w:r>
        <w:rPr>
          <w:rFonts w:ascii="PT Astra Serif" w:hAnsi="PT Astra Serif"/>
          <w:color w:val="000000"/>
        </w:rPr>
        <w:t xml:space="preserve">дополнить подпунктом 6 </w:t>
      </w:r>
      <w:r>
        <w:rPr>
          <w:rFonts w:ascii="PT Astra Serif" w:hAnsi="PT Astra Serif"/>
          <w:color w:val="000000"/>
        </w:rPr>
        <w:t>следующего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содержания</w:t>
      </w:r>
      <w:r>
        <w:rPr>
          <w:rFonts w:ascii="PT Astra Serif" w:hAnsi="PT Astra Serif"/>
          <w:color w:val="000000"/>
        </w:rPr>
        <w:t>:</w:t>
      </w:r>
    </w:p>
    <w:p w14:paraId="15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«6) ежемесячные надбавки к должностному окладу за выслугу лет.</w:t>
      </w:r>
      <w:r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16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1.2 </w:t>
      </w:r>
      <w:r>
        <w:rPr>
          <w:rFonts w:ascii="PT Astra Serif" w:hAnsi="PT Astra Serif"/>
          <w:color w:val="000000"/>
        </w:rPr>
        <w:t xml:space="preserve">Пункт 4.1 раздела 4 </w:t>
      </w:r>
      <w:r>
        <w:rPr>
          <w:rFonts w:ascii="PT Astra Serif" w:hAnsi="PT Astra Serif"/>
          <w:color w:val="000000"/>
        </w:rPr>
        <w:t xml:space="preserve">приложения к </w:t>
      </w:r>
      <w:r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 xml:space="preserve">остановлению </w:t>
      </w:r>
      <w:r>
        <w:rPr>
          <w:rFonts w:ascii="PT Astra Serif" w:hAnsi="PT Astra Serif"/>
          <w:color w:val="000000"/>
        </w:rPr>
        <w:t xml:space="preserve">дополнить подпунктом </w:t>
      </w:r>
      <w:r>
        <w:rPr>
          <w:rFonts w:ascii="PT Astra Serif" w:hAnsi="PT Astra Serif"/>
          <w:color w:val="000000"/>
        </w:rPr>
        <w:t xml:space="preserve">7 </w:t>
      </w:r>
      <w:r>
        <w:rPr>
          <w:rFonts w:ascii="PT Astra Serif" w:hAnsi="PT Astra Serif"/>
          <w:color w:val="000000"/>
        </w:rPr>
        <w:t>следующего содержания</w:t>
      </w:r>
      <w:r>
        <w:rPr>
          <w:rFonts w:ascii="PT Astra Serif" w:hAnsi="PT Astra Serif"/>
          <w:color w:val="000000"/>
        </w:rPr>
        <w:t>:</w:t>
      </w:r>
      <w:bookmarkStart w:id="1" w:name="_GoBack"/>
      <w:bookmarkEnd w:id="1"/>
    </w:p>
    <w:p w14:paraId="17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«7</w:t>
      </w:r>
      <w:r>
        <w:rPr>
          <w:rFonts w:ascii="PT Astra Serif" w:hAnsi="PT Astra Serif"/>
          <w:color w:val="000000"/>
        </w:rPr>
        <w:t>)</w:t>
      </w:r>
      <w:r>
        <w:rPr>
          <w:rFonts w:ascii="PT Astra Serif" w:hAnsi="PT Astra Serif"/>
          <w:color w:val="000000"/>
        </w:rPr>
        <w:t xml:space="preserve"> Ежемесячные надбавки к должностному окладу за выслугу лет</w:t>
      </w:r>
      <w:r>
        <w:rPr>
          <w:rFonts w:ascii="PT Astra Serif" w:hAnsi="PT Astra Serif"/>
          <w:color w:val="000000"/>
        </w:rPr>
        <w:t>:</w:t>
      </w:r>
    </w:p>
    <w:p w14:paraId="18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7.1</w:t>
      </w:r>
      <w:r>
        <w:rPr>
          <w:rFonts w:ascii="PT Astra Serif" w:hAnsi="PT Astra Serif"/>
          <w:color w:val="000000"/>
        </w:rPr>
        <w:t>)</w:t>
      </w:r>
      <w:r>
        <w:rPr>
          <w:rFonts w:ascii="PT Astra Serif" w:hAnsi="PT Astra Serif"/>
          <w:color w:val="000000"/>
        </w:rPr>
        <w:t xml:space="preserve"> Ежемесячная надбавка к должностному окладу за выслугу лет (далее надбавка за выслугу лет) </w:t>
      </w:r>
      <w:r>
        <w:rPr>
          <w:rFonts w:ascii="PT Astra Serif" w:hAnsi="PT Astra Serif"/>
          <w:color w:val="000000"/>
        </w:rPr>
        <w:t>производится дифференцированно</w:t>
      </w:r>
      <w:r>
        <w:rPr>
          <w:rFonts w:ascii="PT Astra Serif" w:hAnsi="PT Astra Serif"/>
          <w:color w:val="000000"/>
        </w:rPr>
        <w:t xml:space="preserve"> в зависимости от </w:t>
      </w:r>
      <w:r>
        <w:rPr>
          <w:rFonts w:ascii="PT Astra Serif" w:hAnsi="PT Astra Serif"/>
          <w:color w:val="000000"/>
        </w:rPr>
        <w:t xml:space="preserve">общего </w:t>
      </w:r>
      <w:r>
        <w:rPr>
          <w:rFonts w:ascii="PT Astra Serif" w:hAnsi="PT Astra Serif"/>
          <w:color w:val="000000"/>
        </w:rPr>
        <w:t>стажа работы, дающего право на получение данной надбавки, в процентах от должностного оклада: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5670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Стаж работы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rFonts w:ascii="PT Astra Serif" w:hAnsi="PT Astra Serif"/>
                <w:b w:val="1"/>
                <w:color w:val="1A1A1A"/>
              </w:rPr>
            </w:pPr>
            <w:r>
              <w:rPr>
                <w:rFonts w:ascii="PT Astra Serif" w:hAnsi="PT Astra Serif"/>
                <w:b w:val="1"/>
                <w:color w:val="1A1A1A"/>
              </w:rPr>
              <w:t>Размер надбавки</w:t>
            </w:r>
          </w:p>
          <w:p w14:paraId="1B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(в процентах к должностному окладу)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tabs>
                <w:tab w:leader="none" w:pos="0" w:val="left"/>
              </w:tabs>
              <w:ind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Свыше 1 года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tabs>
                <w:tab w:leader="none" w:pos="0" w:val="left"/>
              </w:tabs>
              <w:ind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Свыше 3 лет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tabs>
                <w:tab w:leader="none" w:pos="0" w:val="left"/>
              </w:tabs>
              <w:ind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Свыше 5 лет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tabs>
                <w:tab w:leader="none" w:pos="0" w:val="left"/>
              </w:tabs>
              <w:ind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Свыше 10 лет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tabs>
                <w:tab w:leader="none" w:pos="0" w:val="left"/>
              </w:tabs>
              <w:ind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1A1A1A"/>
              </w:rPr>
              <w:t>Свыше 15 лет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tabs>
                <w:tab w:leader="none" w:pos="0" w:val="left"/>
              </w:tabs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</w:tbl>
    <w:p w14:paraId="26000000">
      <w:pPr>
        <w:widowControl w:val="1"/>
        <w:ind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   </w:t>
      </w:r>
    </w:p>
    <w:p w14:paraId="27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  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000000"/>
        </w:rPr>
        <w:t>7.2</w:t>
      </w:r>
      <w:r>
        <w:rPr>
          <w:rFonts w:ascii="PT Astra Serif" w:hAnsi="PT Astra Serif"/>
          <w:color w:val="000000"/>
        </w:rPr>
        <w:t>)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1A1A1A"/>
        </w:rPr>
        <w:t>В стаж работы, дающий право на назначение выплаты за выслугу лет,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включается время работы</w:t>
      </w:r>
      <w:r>
        <w:rPr>
          <w:rFonts w:ascii="PT Astra Serif" w:hAnsi="PT Astra Serif"/>
          <w:color w:val="1A1A1A"/>
        </w:rPr>
        <w:t>:</w:t>
      </w:r>
    </w:p>
    <w:p w14:paraId="28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- </w:t>
      </w:r>
      <w:r>
        <w:rPr>
          <w:rFonts w:ascii="PT Astra Serif" w:hAnsi="PT Astra Serif"/>
          <w:color w:val="1A1A1A"/>
        </w:rPr>
        <w:t>в организациях МЧС России, региональных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центрах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по делам гражданской обороны, чрезвычайным ситуациям 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 xml:space="preserve">ликвидации последствий стихийных бедствий, соединениях и воинских частях гражданской обороны (в том числе до создания ГКЧС России и МЧС России), центральном аппарате МЧС России независимо от причин увольнения и </w:t>
      </w:r>
      <w:r>
        <w:rPr>
          <w:rFonts w:ascii="PT Astra Serif" w:hAnsi="PT Astra Serif"/>
          <w:color w:val="1A1A1A"/>
        </w:rPr>
        <w:t>длительности перерывов в работе;</w:t>
      </w:r>
    </w:p>
    <w:p w14:paraId="29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- </w:t>
      </w:r>
      <w:r>
        <w:rPr>
          <w:rFonts w:ascii="PT Astra Serif" w:hAnsi="PT Astra Serif"/>
          <w:color w:val="1A1A1A"/>
        </w:rPr>
        <w:t>в Российском корпусе спасателей;</w:t>
      </w:r>
      <w:r>
        <w:rPr>
          <w:rFonts w:ascii="PT Astra Serif" w:hAnsi="PT Astra Serif"/>
          <w:color w:val="1A1A1A"/>
        </w:rPr>
        <w:t xml:space="preserve"> </w:t>
      </w:r>
    </w:p>
    <w:p w14:paraId="2A000000">
      <w:pPr>
        <w:widowControl w:val="1"/>
        <w:ind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- в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поисково-спасательных,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аварийно-спасательных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подразделениях независимо от организационно-правовых форм, в том числе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туристских, альпинистских и других спасательных службах, пунктах, центрах 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подразделениях, а также подразделениях (должностях) гражданской обороны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учреждений, предприятий и организаци</w:t>
      </w:r>
      <w:r>
        <w:rPr>
          <w:rFonts w:ascii="PT Astra Serif" w:hAnsi="PT Astra Serif"/>
          <w:color w:val="1A1A1A"/>
        </w:rPr>
        <w:t>й других министерств и ведомств;</w:t>
      </w:r>
      <w:r>
        <w:rPr>
          <w:rFonts w:ascii="PT Astra Serif" w:hAnsi="PT Astra Serif"/>
          <w:color w:val="1A1A1A"/>
        </w:rPr>
        <w:t xml:space="preserve"> </w:t>
      </w:r>
    </w:p>
    <w:p w14:paraId="2B000000">
      <w:pPr>
        <w:widowControl w:val="1"/>
        <w:ind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- </w:t>
      </w:r>
      <w:r>
        <w:rPr>
          <w:rFonts w:ascii="PT Astra Serif" w:hAnsi="PT Astra Serif"/>
          <w:color w:val="1A1A1A"/>
        </w:rPr>
        <w:t>в воинских частях, учреждениях, на предприятиях и в организациях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Министерства обороны Российской Федерации, Министерства внутренних дел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Российской Федерации (в том числе, когда эти войска именовались по-другому)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и в органах внутренних дел независимо от причин увольнения и длительности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перерывов в работе, если другие условия не оговорены в настоящем</w:t>
      </w:r>
      <w:r>
        <w:rPr>
          <w:rFonts w:ascii="PT Astra Serif" w:hAnsi="PT Astra Serif"/>
          <w:color w:val="1A1A1A"/>
        </w:rPr>
        <w:t xml:space="preserve">  </w:t>
      </w:r>
      <w:r>
        <w:rPr>
          <w:rFonts w:ascii="PT Astra Serif" w:hAnsi="PT Astra Serif"/>
          <w:color w:val="1A1A1A"/>
        </w:rPr>
        <w:t>Положении;</w:t>
      </w:r>
    </w:p>
    <w:p w14:paraId="2C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- </w:t>
      </w:r>
      <w:r>
        <w:rPr>
          <w:rFonts w:ascii="PT Astra Serif" w:hAnsi="PT Astra Serif"/>
          <w:color w:val="1A1A1A"/>
        </w:rPr>
        <w:t xml:space="preserve">на выборных должностях и в качестве государственных служащих </w:t>
      </w:r>
      <w:r>
        <w:rPr>
          <w:rFonts w:ascii="PT Astra Serif" w:hAnsi="PT Astra Serif"/>
          <w:color w:val="1A1A1A"/>
        </w:rPr>
        <w:t>в</w:t>
      </w:r>
    </w:p>
    <w:p w14:paraId="2D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федеральных органах государственной власти,</w:t>
      </w:r>
      <w:r>
        <w:rPr>
          <w:rFonts w:ascii="PT Astra Serif" w:hAnsi="PT Astra Serif"/>
          <w:color w:val="1A1A1A"/>
        </w:rPr>
        <w:t xml:space="preserve"> периоды государственной (муниципальной) службы, </w:t>
      </w:r>
      <w:r>
        <w:rPr>
          <w:rFonts w:ascii="PT Astra Serif" w:hAnsi="PT Astra Serif"/>
          <w:color w:val="1A1A1A"/>
        </w:rPr>
        <w:t>органах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государственной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власти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субъектов Российской Федерации и органах местного самоуправления</w:t>
      </w:r>
      <w:r>
        <w:rPr>
          <w:rFonts w:ascii="PT Astra Serif" w:hAnsi="PT Astra Serif"/>
          <w:color w:val="1A1A1A"/>
        </w:rPr>
        <w:t xml:space="preserve"> и в бюджетных учреждениях</w:t>
      </w:r>
      <w:r>
        <w:rPr>
          <w:rFonts w:ascii="PT Astra Serif" w:hAnsi="PT Astra Serif"/>
          <w:color w:val="1A1A1A"/>
        </w:rPr>
        <w:t>;</w:t>
      </w:r>
      <w:r>
        <w:rPr>
          <w:rFonts w:ascii="PT Astra Serif" w:hAnsi="PT Astra Serif"/>
          <w:color w:val="1A1A1A"/>
        </w:rPr>
        <w:t xml:space="preserve"> </w:t>
      </w:r>
    </w:p>
    <w:p w14:paraId="2E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- </w:t>
      </w:r>
      <w:r>
        <w:rPr>
          <w:rFonts w:ascii="PT Astra Serif" w:hAnsi="PT Astra Serif"/>
          <w:color w:val="1A1A1A"/>
        </w:rPr>
        <w:t>по специальности, опыт и знания по которой необходимы для выполнения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должностных обязанностей по занимаемой должности.</w:t>
      </w:r>
    </w:p>
    <w:p w14:paraId="2F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>Основным документом для определения стажа работы, дающего право на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назначение выплаты за выслугу лет, является трудовая книжка, а для граждан,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уволенных с военной службы в запас или в отставку, - военный билет или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 xml:space="preserve">другие документы, подтверждающие трудовой стаж работника. </w:t>
      </w:r>
    </w:p>
    <w:p w14:paraId="30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>Общий стаж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работы, дающий право на назначение выплаты за выслугу лет, определяется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 xml:space="preserve">комиссией по установлению трудового стажа. </w:t>
      </w: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>Состав комиссии утверждается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 xml:space="preserve">приказом </w:t>
      </w:r>
      <w:r>
        <w:rPr>
          <w:rFonts w:ascii="PT Astra Serif" w:hAnsi="PT Astra Serif"/>
          <w:color w:val="1A1A1A"/>
        </w:rPr>
        <w:t>директора</w:t>
      </w:r>
      <w:r>
        <w:rPr>
          <w:rFonts w:ascii="PT Astra Serif" w:hAnsi="PT Astra Serif"/>
          <w:color w:val="1A1A1A"/>
        </w:rPr>
        <w:t xml:space="preserve"> учреждения</w:t>
      </w:r>
      <w:r>
        <w:rPr>
          <w:rFonts w:ascii="PT Astra Serif" w:hAnsi="PT Astra Serif"/>
          <w:color w:val="000000"/>
        </w:rPr>
        <w:t>.</w:t>
      </w:r>
    </w:p>
    <w:p w14:paraId="31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 xml:space="preserve">Начисление выплаты за выслугу лет производится приказом </w:t>
      </w:r>
      <w:r>
        <w:rPr>
          <w:rFonts w:ascii="PT Astra Serif" w:hAnsi="PT Astra Serif"/>
          <w:color w:val="1A1A1A"/>
        </w:rPr>
        <w:t>директора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учреждения на основании решения комиссии по установлению трудового стажа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с момента возникновения права на назначение или изменение размера этой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надбавки</w:t>
      </w:r>
      <w:r>
        <w:rPr>
          <w:rFonts w:ascii="PT Astra Serif" w:hAnsi="PT Astra Serif"/>
          <w:color w:val="1A1A1A"/>
        </w:rPr>
        <w:t xml:space="preserve"> и </w:t>
      </w:r>
      <w:r>
        <w:rPr>
          <w:rFonts w:ascii="PT Astra Serif" w:hAnsi="PT Astra Serif"/>
          <w:color w:val="000000"/>
        </w:rPr>
        <w:t>подлежит включению в трудовой договор</w:t>
      </w:r>
      <w:r>
        <w:rPr>
          <w:rFonts w:ascii="PT Astra Serif" w:hAnsi="PT Astra Serif"/>
          <w:color w:val="1A1A1A"/>
        </w:rPr>
        <w:t>.</w:t>
      </w:r>
    </w:p>
    <w:p w14:paraId="32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>При увольнении работника выплата за выслугу лет начисляется за</w:t>
      </w:r>
    </w:p>
    <w:p w14:paraId="33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фактически отработанное время, и ее выплата производится при выплате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работнику сумм, причитающихся ему при увольнении.</w:t>
      </w:r>
    </w:p>
    <w:p w14:paraId="34000000">
      <w:pPr>
        <w:widowControl w:val="1"/>
        <w:ind/>
        <w:jc w:val="both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ab/>
      </w:r>
      <w:r>
        <w:rPr>
          <w:rFonts w:ascii="PT Astra Serif" w:hAnsi="PT Astra Serif"/>
          <w:color w:val="1A1A1A"/>
        </w:rPr>
        <w:t xml:space="preserve">Выплата за выслугу лет является обязательной выплатой </w:t>
      </w:r>
      <w:r>
        <w:rPr>
          <w:rFonts w:ascii="PT Astra Serif" w:hAnsi="PT Astra Serif"/>
          <w:color w:val="1A1A1A"/>
        </w:rPr>
        <w:t>с</w:t>
      </w:r>
      <w:r>
        <w:rPr>
          <w:rFonts w:ascii="PT Astra Serif" w:hAnsi="PT Astra Serif"/>
          <w:color w:val="1A1A1A"/>
        </w:rPr>
        <w:t>тимулирующего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характера и обеспечивается бюджетными ассигнованиями, предусмотренными</w:t>
      </w:r>
      <w:r>
        <w:rPr>
          <w:rFonts w:ascii="PT Astra Serif" w:hAnsi="PT Astra Serif"/>
          <w:color w:val="1A1A1A"/>
        </w:rPr>
        <w:t xml:space="preserve"> </w:t>
      </w:r>
      <w:r>
        <w:rPr>
          <w:rFonts w:ascii="PT Astra Serif" w:hAnsi="PT Astra Serif"/>
          <w:color w:val="1A1A1A"/>
        </w:rPr>
        <w:t>фондом на оплату труда работников.</w:t>
      </w:r>
    </w:p>
    <w:p w14:paraId="35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7.</w:t>
      </w:r>
      <w:r>
        <w:rPr>
          <w:rFonts w:ascii="PT Astra Serif" w:hAnsi="PT Astra Serif"/>
          <w:color w:val="000000"/>
        </w:rPr>
        <w:t>3</w:t>
      </w:r>
      <w:r>
        <w:rPr>
          <w:rFonts w:ascii="PT Astra Serif" w:hAnsi="PT Astra Serif"/>
          <w:color w:val="000000"/>
        </w:rPr>
        <w:t>)</w:t>
      </w:r>
      <w:r>
        <w:rPr>
          <w:rFonts w:ascii="PT Astra Serif" w:hAnsi="PT Astra Serif"/>
          <w:color w:val="000000"/>
        </w:rPr>
        <w:t xml:space="preserve"> Директору учреждения надбавка за выслугу лет устанавливается распоряжением администрации муниципального образования город Донской и подлежит включению в трудовой договор.»</w:t>
      </w:r>
      <w:r>
        <w:rPr>
          <w:rFonts w:ascii="PT Astra Serif" w:hAnsi="PT Astra Serif"/>
          <w:color w:val="000000"/>
        </w:rPr>
        <w:t>.</w:t>
      </w:r>
    </w:p>
    <w:p w14:paraId="36000000">
      <w:pPr>
        <w:tabs>
          <w:tab w:leader="none" w:pos="720" w:val="left"/>
        </w:tabs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37000000">
      <w:pPr>
        <w:tabs>
          <w:tab w:leader="none" w:pos="720" w:val="left"/>
        </w:tabs>
        <w:ind/>
        <w:jc w:val="both"/>
        <w:rPr>
          <w:rFonts w:ascii="PT Astra Serif" w:hAnsi="PT Astra Serif"/>
          <w:color w:val="000000"/>
          <w:spacing w:val="2"/>
          <w:highlight w:val="white"/>
        </w:rPr>
      </w:pP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2"/>
          <w:highlight w:val="white"/>
        </w:rPr>
        <w:t>3. Постановление вступает в силу со дня опубликования и распространяется на правоотношения, возникшие с 1 марта 2025 года.</w:t>
      </w:r>
    </w:p>
    <w:p w14:paraId="38000000">
      <w:pPr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5"/>
        <w:gridCol w:w="2546"/>
        <w:gridCol w:w="2404"/>
      </w:tblGrid>
      <w:tr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Глава администрации муниципального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образования город Донской</w:t>
            </w:r>
          </w:p>
        </w:tc>
        <w:tc>
          <w:tcPr>
            <w:tcW w:type="dxa" w:w="25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rPr>
                <w:rFonts w:ascii="PT Astra Serif" w:hAnsi="PT Astra Serif"/>
              </w:rPr>
            </w:pPr>
          </w:p>
        </w:tc>
        <w:tc>
          <w:tcPr>
            <w:tcW w:type="dxa" w:w="24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rPr>
                <w:rFonts w:ascii="PT Astra Serif" w:hAnsi="PT Astra Serif"/>
              </w:rPr>
            </w:pPr>
          </w:p>
          <w:p w14:paraId="3D000000">
            <w:pPr>
              <w:rPr>
                <w:rFonts w:ascii="PT Astra Serif" w:hAnsi="PT Astra Serif"/>
              </w:rPr>
            </w:pPr>
          </w:p>
          <w:p w14:paraId="3E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С.Г. Кулик</w:t>
            </w:r>
          </w:p>
        </w:tc>
      </w:tr>
    </w:tbl>
    <w:p w14:paraId="3F000000">
      <w:pPr>
        <w:rPr>
          <w:rFonts w:ascii="PT Astra Serif" w:hAnsi="PT Astra Serif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2025-03-28T07:29:21Z</dcterms:modified>
</cp:coreProperties>
</file>