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widowControl w:val="0"/>
        <w:ind w:firstLine="0" w:left="0"/>
        <w:jc w:val="right"/>
      </w:pPr>
    </w:p>
    <w:p w14:paraId="10000000">
      <w:pPr>
        <w:widowControl w:val="0"/>
        <w:ind w:firstLine="0" w:left="0"/>
        <w:jc w:val="right"/>
      </w:pPr>
    </w:p>
    <w:p w14:paraId="11000000">
      <w:pPr>
        <w:widowControl w:val="0"/>
        <w:ind w:firstLine="0" w:left="0"/>
        <w:jc w:val="right"/>
      </w:pPr>
    </w:p>
    <w:p w14:paraId="12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изменения</w:t>
      </w:r>
      <w:r>
        <w:rPr>
          <w:rFonts w:ascii="PT Astra Serif" w:hAnsi="PT Astra Serif"/>
          <w:b w:val="1"/>
          <w:sz w:val="28"/>
        </w:rPr>
        <w:t xml:space="preserve"> в постановление администрации муниципального образования город Донской от </w:t>
      </w:r>
      <w:r>
        <w:rPr>
          <w:rFonts w:ascii="PT Astra Serif" w:hAnsi="PT Astra Serif"/>
          <w:b w:val="1"/>
          <w:sz w:val="28"/>
        </w:rPr>
        <w:t>05.04.2024</w:t>
      </w:r>
      <w:r>
        <w:rPr>
          <w:rFonts w:ascii="PT Astra Serif" w:hAnsi="PT Astra Serif"/>
          <w:b w:val="1"/>
          <w:sz w:val="28"/>
        </w:rPr>
        <w:t xml:space="preserve"> № </w:t>
      </w:r>
      <w:r>
        <w:rPr>
          <w:rFonts w:ascii="PT Astra Serif" w:hAnsi="PT Astra Serif"/>
          <w:b w:val="1"/>
          <w:sz w:val="28"/>
        </w:rPr>
        <w:t>397</w:t>
      </w:r>
      <w:r>
        <w:rPr>
          <w:rFonts w:ascii="PT Astra Serif" w:hAnsi="PT Astra Serif"/>
          <w:b w:val="1"/>
          <w:sz w:val="28"/>
        </w:rPr>
        <w:t xml:space="preserve"> «</w:t>
      </w: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 «Энергоэффективность муниципального образования город Донской»</w:t>
      </w:r>
    </w:p>
    <w:p w14:paraId="13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4"/>
        </w:rPr>
      </w:pPr>
    </w:p>
    <w:p w14:paraId="14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PT Astra Serif" w:hAnsi="PT Astra Serif"/>
          <w:color w:val="000000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 xml:space="preserve">23.12.2024 </w:t>
      </w:r>
      <w:r>
        <w:rPr>
          <w:rFonts w:ascii="PT Astra Serif" w:hAnsi="PT Astra Serif"/>
          <w:color w:val="000000"/>
          <w:sz w:val="28"/>
        </w:rPr>
        <w:t xml:space="preserve">№ </w:t>
      </w:r>
      <w:r>
        <w:rPr>
          <w:rFonts w:ascii="PT Astra Serif" w:hAnsi="PT Astra Serif"/>
          <w:color w:val="000000"/>
          <w:sz w:val="28"/>
        </w:rPr>
        <w:t>4-4 «</w:t>
      </w:r>
      <w:r>
        <w:rPr>
          <w:rFonts w:ascii="PT Astra Serif" w:hAnsi="PT Astra Serif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</w:t>
      </w:r>
      <w:r>
        <w:rPr>
          <w:rFonts w:ascii="PT Astra Serif" w:hAnsi="PT Astra Serif"/>
          <w:color w:val="000000"/>
          <w:sz w:val="28"/>
        </w:rPr>
        <w:t xml:space="preserve">», решением Собрания депутатов муниципального образования город Донской от 23.12.2024 № 4-2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О бюджете муниципального образования город Донской на 202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z w:val="28"/>
        </w:rPr>
        <w:t xml:space="preserve"> и 202</w:t>
      </w:r>
      <w:r>
        <w:rPr>
          <w:rFonts w:ascii="PT Astra Serif" w:hAnsi="PT Astra Serif"/>
          <w:color w:val="000000"/>
          <w:sz w:val="28"/>
        </w:rPr>
        <w:t>7</w:t>
      </w:r>
      <w:r>
        <w:rPr>
          <w:rFonts w:ascii="PT Astra Serif" w:hAnsi="PT Astra Serif"/>
          <w:color w:val="000000"/>
          <w:sz w:val="28"/>
        </w:rPr>
        <w:t xml:space="preserve"> годов»,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5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 образования город Донской от 05.04.2024 № 397 «Об утверждении муниципальной программы «Энергоэффективность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следующее изменение:</w:t>
      </w:r>
    </w:p>
    <w:p w14:paraId="16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7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8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9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A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B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муниципального образования </w:t>
            </w:r>
          </w:p>
          <w:p w14:paraId="1D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F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20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1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22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</w:p>
    <w:p w14:paraId="23000000">
      <w:pPr>
        <w:sectPr>
          <w:pgSz w:h="16838" w:orient="portrait" w:w="11906"/>
          <w:pgMar w:bottom="1418" w:footer="708" w:gutter="0" w:header="708" w:left="1701" w:right="850" w:top="993"/>
        </w:sectPr>
      </w:pPr>
    </w:p>
    <w:p w14:paraId="24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5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8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9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A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B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C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val="single"/>
        </w:rPr>
        <w:t xml:space="preserve">05.04.2024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  <w:u w:val="single"/>
        </w:rPr>
        <w:t>397</w:t>
      </w:r>
    </w:p>
    <w:p w14:paraId="2D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2E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F000000">
      <w:pPr>
        <w:pStyle w:val="Style_2"/>
        <w:ind/>
        <w:jc w:val="center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Энергоэффективность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» </w:t>
      </w:r>
    </w:p>
    <w:p w14:paraId="30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1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32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34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3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6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rPr>
          <w:trHeight w:hRule="atLeast" w:val="902"/>
        </w:trPr>
        <w:tc>
          <w:tcPr>
            <w:tcW w:type="dxa" w:w="4106"/>
            <w:vAlign w:val="center"/>
          </w:tcPr>
          <w:p w14:paraId="3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800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Создание экономических и организационных основ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для по</w:t>
            </w:r>
            <w:r>
              <w:rPr>
                <w:rFonts w:ascii="PT Astra Serif" w:hAnsi="PT Astra Serif"/>
                <w:color w:val="000000"/>
              </w:rPr>
              <w:t>вышени</w:t>
            </w:r>
            <w:r>
              <w:rPr>
                <w:rFonts w:ascii="PT Astra Serif" w:hAnsi="PT Astra Serif"/>
                <w:color w:val="000000"/>
              </w:rPr>
              <w:t>я</w:t>
            </w:r>
            <w:r>
              <w:rPr>
                <w:rFonts w:ascii="PT Astra Serif" w:hAnsi="PT Astra Serif"/>
                <w:color w:val="000000"/>
              </w:rPr>
              <w:t xml:space="preserve"> энергетической эффективности при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257</w:t>
            </w:r>
            <w:r>
              <w:rPr>
                <w:rFonts w:ascii="PT Astra Serif" w:hAnsi="PT Astra Serif"/>
              </w:rPr>
              <w:t xml:space="preserve">,00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C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29 430</w:t>
            </w:r>
            <w:r>
              <w:rPr>
                <w:rFonts w:ascii="PT Astra Serif" w:hAnsi="PT Astra Serif"/>
              </w:rPr>
              <w:t>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D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29 933,</w:t>
            </w:r>
            <w:r>
              <w:rPr>
                <w:rFonts w:ascii="PT Astra Serif" w:hAnsi="PT Astra Serif"/>
              </w:rPr>
              <w:t>00 рублей</w:t>
            </w:r>
          </w:p>
          <w:p w14:paraId="3E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29 894,00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F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0 000,00 рублей</w:t>
            </w:r>
          </w:p>
          <w:p w14:paraId="40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- 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000,00 рублей</w:t>
            </w:r>
          </w:p>
          <w:p w14:paraId="41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2027 год – 30 000,00 рублей</w:t>
            </w:r>
          </w:p>
        </w:tc>
      </w:tr>
    </w:tbl>
    <w:p w14:paraId="42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43000000">
      <w:pPr>
        <w:pStyle w:val="Style_1"/>
        <w:widowControl w:val="1"/>
        <w:numPr>
          <w:ilvl w:val="0"/>
          <w:numId w:val="1"/>
        </w:num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44000000">
      <w:pPr>
        <w:pStyle w:val="Style_1"/>
        <w:widowControl w:val="1"/>
        <w:ind w:firstLine="0" w:left="720"/>
        <w:jc w:val="center"/>
        <w:rPr>
          <w:rFonts w:ascii="PT Astra Serif" w:hAnsi="PT Astra Serif"/>
          <w:b w:val="1"/>
          <w:sz w:val="14"/>
        </w:rPr>
      </w:pPr>
    </w:p>
    <w:tbl>
      <w:tblPr>
        <w:tblStyle w:val="Style_3"/>
        <w:tblLayout w:type="fixed"/>
      </w:tblPr>
      <w:tblGrid>
        <w:gridCol w:w="706"/>
        <w:gridCol w:w="2247"/>
        <w:gridCol w:w="4277"/>
        <w:gridCol w:w="1275"/>
        <w:gridCol w:w="1276"/>
        <w:gridCol w:w="709"/>
        <w:gridCol w:w="709"/>
        <w:gridCol w:w="708"/>
        <w:gridCol w:w="709"/>
        <w:gridCol w:w="709"/>
        <w:gridCol w:w="709"/>
        <w:gridCol w:w="1701"/>
      </w:tblGrid>
      <w:tr>
        <w:tc>
          <w:tcPr>
            <w:tcW w:type="dxa" w:w="706"/>
            <w:vMerge w:val="restart"/>
            <w:vAlign w:val="center"/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2247"/>
            <w:vMerge w:val="restart"/>
            <w:vAlign w:val="center"/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4277"/>
            <w:vMerge w:val="restart"/>
            <w:vAlign w:val="center"/>
          </w:tcPr>
          <w:p w14:paraId="4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275"/>
            <w:vMerge w:val="restart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276"/>
            <w:vMerge w:val="restart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4253"/>
            <w:gridSpan w:val="6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1701"/>
            <w:vMerge w:val="restart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gridSpan w:val="1"/>
            <w:vMerge w:val="continue"/>
            <w:vAlign w:val="center"/>
          </w:tcPr>
          <w:p/>
        </w:tc>
        <w:tc>
          <w:tcPr>
            <w:tcW w:type="dxa" w:w="1275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709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09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08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09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09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709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2027</w:t>
            </w:r>
          </w:p>
        </w:tc>
        <w:tc>
          <w:tcPr>
            <w:tcW w:type="dxa" w:w="1701"/>
            <w:gridSpan w:val="1"/>
            <w:vMerge w:val="continue"/>
            <w:vAlign w:val="center"/>
          </w:tcPr>
          <w:p/>
        </w:tc>
      </w:tr>
      <w:tr>
        <w:tc>
          <w:tcPr>
            <w:tcW w:type="dxa" w:w="706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247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4277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275"/>
            <w:vAlign w:val="center"/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276"/>
            <w:vAlign w:val="center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09"/>
            <w:vAlign w:val="center"/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709"/>
            <w:vAlign w:val="center"/>
          </w:tcPr>
          <w:p w14:paraId="5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708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709"/>
            <w:vAlign w:val="center"/>
          </w:tcPr>
          <w:p w14:paraId="5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709"/>
            <w:vAlign w:val="center"/>
          </w:tcPr>
          <w:p w14:paraId="5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709"/>
            <w:vAlign w:val="center"/>
          </w:tcPr>
          <w:p w14:paraId="5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  <w:tc>
          <w:tcPr>
            <w:tcW w:type="dxa" w:w="1701"/>
            <w:vAlign w:val="center"/>
          </w:tcPr>
          <w:p w14:paraId="5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  <w:r>
              <w:rPr>
                <w:rFonts w:ascii="PT Astra Serif" w:hAnsi="PT Astra Serif"/>
                <w:b w:val="1"/>
              </w:rPr>
              <w:t>2</w:t>
            </w:r>
          </w:p>
        </w:tc>
      </w:tr>
      <w:tr>
        <w:trPr>
          <w:trHeight w:hRule="atLeast" w:val="351"/>
        </w:trPr>
        <w:tc>
          <w:tcPr>
            <w:tcW w:type="dxa" w:w="15735"/>
            <w:gridSpan w:val="12"/>
            <w:vAlign w:val="center"/>
          </w:tcPr>
          <w:p w14:paraId="5E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Цель 1: </w:t>
            </w:r>
            <w:r>
              <w:rPr>
                <w:rFonts w:ascii="PT Astra Serif" w:hAnsi="PT Astra Serif"/>
                <w:b w:val="1"/>
                <w:color w:val="000000"/>
                <w:highlight w:val="white"/>
              </w:rPr>
              <w:t>Создание экономических и организационных основ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для повышения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энергетической эффективности при</w:t>
            </w:r>
            <w:r>
              <w:rPr>
                <w:rFonts w:ascii="PT Astra Serif" w:hAnsi="PT Astra Serif"/>
                <w:b w:val="1"/>
                <w:color w:val="000000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>
        <w:trPr>
          <w:trHeight w:hRule="atLeast" w:val="399"/>
        </w:trPr>
        <w:tc>
          <w:tcPr>
            <w:tcW w:type="dxa" w:w="706"/>
            <w:vAlign w:val="center"/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29"/>
            <w:gridSpan w:val="11"/>
            <w:vAlign w:val="center"/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</w:rPr>
              <w:t xml:space="preserve">Реализация мероприятий по энергоэффективности </w:t>
            </w:r>
            <w:r>
              <w:rPr>
                <w:rFonts w:ascii="PT Astra Serif" w:hAnsi="PT Astra Serif"/>
                <w:b w:val="1"/>
              </w:rPr>
              <w:t>муниципального образования город Донской»</w:t>
            </w:r>
          </w:p>
        </w:tc>
      </w:tr>
      <w:tr>
        <w:trPr>
          <w:trHeight w:hRule="atLeast" w:val="663"/>
        </w:trPr>
        <w:tc>
          <w:tcPr>
            <w:tcW w:type="dxa" w:w="706"/>
            <w:vMerge w:val="restart"/>
            <w:vAlign w:val="center"/>
          </w:tcPr>
          <w:p w14:paraId="61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1.1.1.</w:t>
            </w:r>
          </w:p>
        </w:tc>
        <w:tc>
          <w:tcPr>
            <w:tcW w:type="dxa" w:w="2247"/>
            <w:vMerge w:val="restart"/>
            <w:vAlign w:val="center"/>
          </w:tcPr>
          <w:p w14:paraId="62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6300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type="dxa" w:w="4277"/>
            <w:vAlign w:val="center"/>
          </w:tcPr>
          <w:p w14:paraId="6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type="dxa" w:w="1275"/>
            <w:vAlign w:val="center"/>
          </w:tcPr>
          <w:p w14:paraId="65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76"/>
            <w:vAlign w:val="center"/>
          </w:tcPr>
          <w:p w14:paraId="6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type="dxa" w:w="709"/>
            <w:vAlign w:val="center"/>
          </w:tcPr>
          <w:p w14:paraId="6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</w:t>
            </w:r>
            <w:r>
              <w:rPr>
                <w:rFonts w:ascii="PT Astra Serif" w:hAnsi="PT Astra Serif"/>
                <w:sz w:val="20"/>
                <w:vertAlign w:val="superscript"/>
              </w:rPr>
              <w:t>*</w:t>
            </w:r>
          </w:p>
        </w:tc>
        <w:tc>
          <w:tcPr>
            <w:tcW w:type="dxa" w:w="709"/>
            <w:vAlign w:val="center"/>
          </w:tcPr>
          <w:p w14:paraId="6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</w:t>
            </w:r>
            <w:r>
              <w:rPr>
                <w:rFonts w:ascii="PT Astra Serif" w:hAnsi="PT Astra Serif"/>
                <w:sz w:val="20"/>
                <w:vertAlign w:val="superscript"/>
              </w:rPr>
              <w:t>*</w:t>
            </w:r>
          </w:p>
        </w:tc>
        <w:tc>
          <w:tcPr>
            <w:tcW w:type="dxa" w:w="708"/>
            <w:vAlign w:val="center"/>
          </w:tcPr>
          <w:p w14:paraId="6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</w:t>
            </w:r>
          </w:p>
        </w:tc>
        <w:tc>
          <w:tcPr>
            <w:tcW w:type="dxa" w:w="709"/>
            <w:vAlign w:val="center"/>
          </w:tcPr>
          <w:p w14:paraId="6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709"/>
            <w:vAlign w:val="center"/>
          </w:tcPr>
          <w:p w14:paraId="6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709"/>
            <w:vAlign w:val="center"/>
          </w:tcPr>
          <w:p w14:paraId="6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</w:t>
            </w:r>
          </w:p>
        </w:tc>
        <w:tc>
          <w:tcPr>
            <w:tcW w:type="dxa" w:w="1701"/>
            <w:vAlign w:val="center"/>
          </w:tcPr>
          <w:p w14:paraId="6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vAlign w:val="center"/>
          </w:tcPr>
          <w:p w14:paraId="6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type="dxa" w:w="1275"/>
            <w:vAlign w:val="center"/>
          </w:tcPr>
          <w:p w14:paraId="6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76"/>
            <w:vAlign w:val="center"/>
          </w:tcPr>
          <w:p w14:paraId="7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7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7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7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7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7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701"/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vAlign w:val="cente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type="dxa" w:w="1275"/>
            <w:vAlign w:val="center"/>
          </w:tcPr>
          <w:p w14:paraId="7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276"/>
            <w:vAlign w:val="center"/>
          </w:tcPr>
          <w:p w14:paraId="7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7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7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7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7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7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701"/>
            <w:vAlign w:val="center"/>
          </w:tcPr>
          <w:p w14:paraId="8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vAlign w:val="center"/>
          </w:tcPr>
          <w:p w14:paraId="8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автотранспортным предприятиям </w:t>
            </w:r>
            <w:r>
              <w:rPr>
                <w:rFonts w:ascii="PT Astra Serif" w:hAnsi="PT Astra Serif"/>
                <w:highlight w:val="white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type="dxa" w:w="1275"/>
            <w:vAlign w:val="center"/>
          </w:tcPr>
          <w:p w14:paraId="8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84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5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86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8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9"/>
            <w:vAlign w:val="center"/>
          </w:tcPr>
          <w:p w14:paraId="8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701"/>
            <w:vAlign w:val="center"/>
          </w:tcPr>
          <w:p w14:paraId="8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vAlign w:val="center"/>
          </w:tcPr>
          <w:p w14:paraId="8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повышении энергетической эффективности путем использования</w:t>
            </w:r>
            <w:r>
              <w:rPr>
                <w:rFonts w:ascii="PT Astra Serif" w:hAnsi="PT Astra Serif"/>
                <w:highlight w:val="white"/>
              </w:rPr>
              <w:t xml:space="preserve"> природного газа в качестве моторного топлива</w:t>
            </w:r>
          </w:p>
        </w:tc>
        <w:tc>
          <w:tcPr>
            <w:tcW w:type="dxa" w:w="1275"/>
            <w:vAlign w:val="center"/>
          </w:tcPr>
          <w:p w14:paraId="8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8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9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9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92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9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9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701"/>
            <w:vAlign w:val="center"/>
          </w:tcPr>
          <w:p w14:paraId="9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  <w:tr>
        <w:trPr>
          <w:trHeight w:hRule="atLeast" w:val="94"/>
        </w:trPr>
        <w:tc>
          <w:tcPr>
            <w:tcW w:type="dxa" w:w="706"/>
            <w:gridSpan w:val="1"/>
            <w:vMerge w:val="continue"/>
            <w:vAlign w:val="center"/>
          </w:tcPr>
          <w:p/>
        </w:tc>
        <w:tc>
          <w:tcPr>
            <w:tcW w:type="dxa" w:w="2247"/>
            <w:gridSpan w:val="1"/>
            <w:vMerge w:val="continue"/>
            <w:vAlign w:val="center"/>
          </w:tcPr>
          <w:p/>
        </w:tc>
        <w:tc>
          <w:tcPr>
            <w:tcW w:type="dxa" w:w="4277"/>
            <w:vAlign w:val="center"/>
          </w:tcPr>
          <w:p w14:paraId="9600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сюжетов,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275"/>
            <w:vAlign w:val="center"/>
          </w:tcPr>
          <w:p w14:paraId="9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276"/>
            <w:vAlign w:val="center"/>
          </w:tcPr>
          <w:p w14:paraId="9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9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9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9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9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9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9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1701"/>
            <w:vAlign w:val="center"/>
          </w:tcPr>
          <w:p w14:paraId="9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УЖХК АМО город Донской</w:t>
            </w:r>
          </w:p>
        </w:tc>
      </w:tr>
    </w:tbl>
    <w:p w14:paraId="A0000000">
      <w:pPr>
        <w:pStyle w:val="Style_1"/>
        <w:widowControl w:val="1"/>
        <w:ind w:firstLine="0" w:left="0"/>
        <w:jc w:val="both"/>
        <w:rPr>
          <w:rFonts w:ascii="PT Astra Serif" w:hAnsi="PT Astra Serif"/>
        </w:rPr>
      </w:pPr>
    </w:p>
    <w:p w14:paraId="A1000000">
      <w:pPr>
        <w:pStyle w:val="Style_1"/>
        <w:widowControl w:val="1"/>
        <w:ind w:firstLine="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*приобретение приборов, устройств освещения, ламп различных марок</w:t>
      </w:r>
    </w:p>
    <w:p w14:paraId="A2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A3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A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16"/>
        </w:rPr>
      </w:pPr>
    </w:p>
    <w:p w14:paraId="A5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A600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22"/>
        <w:gridCol w:w="2850"/>
        <w:gridCol w:w="3892"/>
        <w:gridCol w:w="3981"/>
      </w:tblGrid>
      <w:tr>
        <w:trPr>
          <w:trHeight w:hRule="atLeast" w:val="56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154"/>
        </w:trPr>
        <w:tc>
          <w:tcPr>
            <w:tcW w:type="dxa" w:w="15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widowControl w:val="0"/>
              <w:ind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энергоэффективности муниципального образования город Донской»</w:t>
            </w:r>
          </w:p>
        </w:tc>
      </w:tr>
      <w:tr>
        <w:trPr>
          <w:trHeight w:hRule="atLeast" w:val="557"/>
        </w:trPr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type="dxa" w:w="7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</w:t>
            </w: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 xml:space="preserve"> годы</w:t>
            </w:r>
          </w:p>
        </w:tc>
      </w:tr>
      <w:tr>
        <w:trPr>
          <w:trHeight w:hRule="atLeast" w:val="1024"/>
        </w:trPr>
        <w:tc>
          <w:tcPr>
            <w:tcW w:type="dxa" w:w="5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B1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type="dxa" w:w="6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Устойчивое обеспечение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экономики и населения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топливом и энергией, сокращение </w:t>
            </w:r>
            <w:r>
              <w:rPr>
                <w:rFonts w:ascii="PT Astra Serif" w:hAnsi="PT Astra Serif"/>
                <w:color w:val="000000"/>
                <w:sz w:val="20"/>
              </w:rPr>
              <w:t>удельного потребления топливно-энергетических ресурсов в организациях бюджетной сферы, рост конкурентоспособности, энергетической и экологической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</w:rPr>
              <w:t>безопасности.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1.1.1.</w:t>
            </w:r>
          </w:p>
        </w:tc>
      </w:tr>
    </w:tbl>
    <w:p w14:paraId="B4000000">
      <w:pPr>
        <w:pStyle w:val="Style_6"/>
        <w:widowControl w:val="0"/>
        <w:ind/>
        <w:rPr>
          <w:rFonts w:ascii="PT Astra Serif" w:hAnsi="PT Astra Serif"/>
          <w:b w:val="1"/>
          <w:sz w:val="28"/>
        </w:rPr>
      </w:pPr>
    </w:p>
    <w:p w14:paraId="B5000000">
      <w:pPr>
        <w:pStyle w:val="Style_6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9"/>
        <w:gridCol w:w="1274"/>
        <w:gridCol w:w="1281"/>
        <w:gridCol w:w="1417"/>
        <w:gridCol w:w="1281"/>
        <w:gridCol w:w="1274"/>
        <w:gridCol w:w="1420"/>
        <w:gridCol w:w="1700"/>
      </w:tblGrid>
      <w:tr>
        <w:trPr>
          <w:tblHeader/>
        </w:trPr>
        <w:tc>
          <w:tcPr>
            <w:tcW w:type="dxa" w:w="6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96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6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29 430,00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29 933,00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29 894,00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179 257,00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Федеральный бюджет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Тульской области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29 430,00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29 933,00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29 894,00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30 000,00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179 257,00</w:t>
            </w:r>
          </w:p>
        </w:tc>
      </w:tr>
      <w:tr>
        <w:trPr>
          <w:trHeight w:hRule="atLeast" w:val="282"/>
          <w:tblHeader/>
        </w:trPr>
        <w:tc>
          <w:tcPr>
            <w:tcW w:type="dxa" w:w="6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 w:firstLine="0" w:left="0"/>
              <w:jc w:val="left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Внебюджетные источники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F7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F8000000">
      <w:pPr>
        <w:pStyle w:val="Style_1"/>
        <w:widowControl w:val="1"/>
        <w:ind w:firstLine="0" w:left="0"/>
        <w:rPr>
          <w:rFonts w:ascii="PT Astra Serif" w:hAnsi="PT Astra Serif"/>
          <w:sz w:val="28"/>
        </w:rPr>
      </w:pPr>
    </w:p>
    <w:p w14:paraId="F9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FA000000">
      <w:pPr>
        <w:sectPr>
          <w:pgSz w:h="11906" w:orient="landscape" w:w="16838"/>
          <w:pgMar w:bottom="851" w:footer="709" w:gutter="0" w:header="709" w:left="1134" w:right="992" w:top="709"/>
        </w:sectPr>
      </w:pPr>
    </w:p>
    <w:p w14:paraId="FB000000">
      <w:pPr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Характеристика текущего состояния, основные проблемы энергоэффективности</w:t>
      </w:r>
    </w:p>
    <w:p w14:paraId="FC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Основной проблемой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программы охватывают отрасли экономики и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стратегических документах, определяющих приоритеты социально-экономического развития Тульской области на среднесрочную и долгосрочную перспективу.</w:t>
      </w:r>
    </w:p>
    <w:p w14:paraId="FD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подключения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14:paraId="FE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основных задач в этой сфере намечается: создание условий для нормального функционирования рынка по оказанию услуг энергоснабжения, сокращение затрат на обслуживание систем тепло-, водо- и электроснабжения, снижение уровня потерь всех видов энергоресурсов.</w:t>
      </w:r>
    </w:p>
    <w:p w14:paraId="FF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 менее важной задачей является стимулирование потребителей к экономии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энергоресурсов.</w:t>
      </w:r>
    </w:p>
    <w:p w14:paraId="00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Существующая потребность в приобретении энергосберегающих ламп в муниципальных бюджетных учреждениях в период с 2022 года по 2026 год составляет 537 штук.</w:t>
      </w:r>
    </w:p>
    <w:p w14:paraId="01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сегодняшний момент стоит обращать внимание на экологически безопасные источники топлива для транспорта. Одним из таких является газ. Его использование в качестве топлива способно существенно снизить выбросы парниковых газов, а также снизить объем различных загрязняющих веществ, которые попадают в атмосферу.</w:t>
      </w:r>
    </w:p>
    <w:p w14:paraId="02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Развитие рынка газомоторного топлива является сегодня задачей государственной важности, от решения которой зависит рост конкурентоспособности экономики, развитие транспортной, жилищно-коммунальной и других инфраструктур.</w:t>
      </w:r>
    </w:p>
    <w:p w14:paraId="03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Большинство объектов теплоснабжения имеют сверхнормативный износ и нуждаются в модернизации и реконструкции. </w:t>
      </w:r>
    </w:p>
    <w:p w14:paraId="04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связи с тем, что расходы на отопление и горячее водоснабжение составляют около половины платежа населения за коммунальные услуги, особенно актуальным в настоящее время является обеспечение эффективности теплоснабжения.</w:t>
      </w:r>
    </w:p>
    <w:p w14:paraId="05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Существующие тепловые системы, в основной своей массе, проектировались и создавались без учета возможностей, появившихся на </w:t>
      </w:r>
      <w:r>
        <w:rPr>
          <w:rFonts w:ascii="PT Astra Serif" w:hAnsi="PT Astra Serif"/>
          <w:sz w:val="28"/>
          <w:highlight w:val="white"/>
        </w:rPr>
        <w:t>теплоэнергетическом</w:t>
      </w:r>
      <w:r>
        <w:rPr>
          <w:rFonts w:ascii="PT Astra Serif" w:hAnsi="PT Astra Serif"/>
          <w:sz w:val="28"/>
          <w:highlight w:val="white"/>
        </w:rPr>
        <w:t xml:space="preserve"> рынке в течение последних лет. Массовое развитие техники обусловило появление в это время огромного количества технологических новшеств, которые изменили ситуацию в энергосбережении. Возможность точного моделирования тепловых процессов привела к появлению новых эффективных конструкций котло</w:t>
      </w:r>
      <w:r>
        <w:rPr>
          <w:rFonts w:ascii="PT Astra Serif" w:hAnsi="PT Astra Serif"/>
          <w:sz w:val="28"/>
          <w:highlight w:val="white"/>
        </w:rPr>
        <w:t xml:space="preserve">вых </w:t>
      </w:r>
      <w:r>
        <w:rPr>
          <w:rFonts w:ascii="PT Astra Serif" w:hAnsi="PT Astra Serif"/>
          <w:sz w:val="28"/>
          <w:highlight w:val="white"/>
        </w:rPr>
        <w:t>агрегатов и схем отопления, а достижения электронной индустрии обеспечили возможность широкого применения средств учета тепловой энергии и высокоэкономичных регулирующих устройств.</w:t>
      </w:r>
    </w:p>
    <w:p w14:paraId="06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Энергосбережение получило большое количество эффективных технологий и новое оборудование, позволяющее значительно повысить надежность и экономичность работы уже существующих тепловых систем и проектировать новые системы, качественно отличающиеся от уже существующих.</w:t>
      </w:r>
    </w:p>
    <w:p w14:paraId="07010000">
      <w:pPr>
        <w:ind w:firstLine="709" w:left="0"/>
        <w:rPr>
          <w:rFonts w:ascii="PT Astra Serif" w:hAnsi="PT Astra Serif"/>
          <w:color w:val="000000"/>
          <w:sz w:val="28"/>
        </w:rPr>
      </w:pPr>
    </w:p>
    <w:p w14:paraId="0801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Цели и задачи программы</w:t>
      </w:r>
    </w:p>
    <w:p w14:paraId="09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Задача энергосбережения особенно актуальна в бюджетной сфере. Существенные потери энергоресурсов происходят при эксплуатации инженерных систем и оборудования. </w:t>
      </w:r>
    </w:p>
    <w:p w14:paraId="0A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Комплексное решение проблем, связанных с эффективным использованием энергетических ресурсов, является одной из приоритетных задач. </w:t>
      </w:r>
    </w:p>
    <w:p w14:paraId="0B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решения проблемы необходимо осуществление комплекса мер по повышению энергетической эффективности на территории муниципального образования город Донской и, прежде всего, в муниципальных учреждениях. </w:t>
      </w:r>
    </w:p>
    <w:p w14:paraId="0C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Целью программы является: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color w:val="000000"/>
          <w:sz w:val="28"/>
          <w:highlight w:val="white"/>
        </w:rPr>
        <w:t>оздание экономических и организационных основ</w:t>
      </w:r>
      <w:r>
        <w:rPr>
          <w:rFonts w:ascii="PT Astra Serif" w:hAnsi="PT Astra Serif"/>
          <w:color w:val="000000"/>
          <w:sz w:val="28"/>
        </w:rPr>
        <w:t xml:space="preserve"> для повышения энергетической эффективности при производстве, транспортировке и использовании энергетических ресурсов на объектах всех форм собственности</w:t>
      </w:r>
      <w:r>
        <w:rPr>
          <w:rFonts w:ascii="PT Astra Serif" w:hAnsi="PT Astra Serif"/>
          <w:sz w:val="28"/>
        </w:rPr>
        <w:t xml:space="preserve">. </w:t>
      </w:r>
    </w:p>
    <w:p w14:paraId="0D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достижения поставленной цели определена основная задача: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овышение эффективности использования энергетических ресурсов потребителями и качества предоставления жилищно-коммунальных услуг</w:t>
      </w:r>
      <w:r>
        <w:rPr>
          <w:rFonts w:ascii="PT Astra Serif" w:hAnsi="PT Astra Serif"/>
          <w:color w:val="000000"/>
          <w:sz w:val="28"/>
        </w:rPr>
        <w:t>.</w:t>
      </w:r>
    </w:p>
    <w:p w14:paraId="0E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Учитывая социальную и экономическую значимость энергосберегающих мероприятий для снижения бюджетных расходов, проблемы эффективного использования энергетических ресурсов необходимо решать программными методами, предусматривающими создание организационных, правовых, экономических и технологических условий, обеспечивающих оптимизацию потребления энергетических ресурсов.</w:t>
      </w:r>
    </w:p>
    <w:p w14:paraId="0F010000">
      <w:pPr>
        <w:ind w:firstLine="709" w:left="0"/>
        <w:rPr>
          <w:rFonts w:ascii="PT Astra Serif" w:hAnsi="PT Astra Serif"/>
          <w:b w:val="1"/>
          <w:color w:val="000000"/>
          <w:sz w:val="28"/>
        </w:rPr>
      </w:pPr>
    </w:p>
    <w:p w14:paraId="10010000">
      <w:pPr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Управление, контроль и оценка эффективности реализации муниципальной программы</w:t>
      </w:r>
    </w:p>
    <w:p w14:paraId="11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Программа реализуется на территории муниципального образования город Донской. </w:t>
      </w:r>
    </w:p>
    <w:p w14:paraId="12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</w:t>
      </w:r>
      <w:r>
        <w:rPr>
          <w:rFonts w:ascii="PT Astra Serif" w:hAnsi="PT Astra Serif"/>
          <w:sz w:val="28"/>
        </w:rPr>
        <w:t>обеспечивающие планирование, выполнение, корректировку и контроль исполнения предусмотренных программой мероприятий.</w:t>
      </w:r>
    </w:p>
    <w:p w14:paraId="13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1401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15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16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рамках реализации муниципальной программы «Энергоэффективность муниципального образования город Донской» выполняется полное обеспечение существующих потребностей и достижение 100% значений мероприятий. </w:t>
      </w:r>
    </w:p>
    <w:p w14:paraId="17010000">
      <w:pPr>
        <w:rPr>
          <w:rFonts w:ascii="PT Astra Serif" w:hAnsi="PT Astra Serif"/>
          <w:sz w:val="28"/>
        </w:rPr>
      </w:pPr>
    </w:p>
    <w:p w14:paraId="1801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Ожидаемые результаты реализации программы</w:t>
      </w:r>
    </w:p>
    <w:p w14:paraId="19010000">
      <w:pPr>
        <w:ind w:firstLine="709" w:left="0"/>
        <w:contextualSpacing w:val="1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Реализация настоящей программы должна обеспечить</w:t>
      </w:r>
      <w:r>
        <w:rPr>
          <w:rFonts w:ascii="PT Astra Serif" w:hAnsi="PT Astra Serif"/>
          <w:sz w:val="28"/>
        </w:rPr>
        <w:t xml:space="preserve"> у</w:t>
      </w:r>
      <w:r>
        <w:rPr>
          <w:rFonts w:ascii="PT Astra Serif" w:hAnsi="PT Astra Serif"/>
          <w:color w:val="000000"/>
          <w:sz w:val="28"/>
        </w:rPr>
        <w:t>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</w:t>
      </w:r>
      <w:r>
        <w:rPr>
          <w:rFonts w:ascii="PT Astra Serif" w:hAnsi="PT Astra Serif"/>
          <w:color w:val="000000"/>
          <w:sz w:val="28"/>
        </w:rPr>
        <w:t>.</w:t>
      </w:r>
    </w:p>
    <w:p w14:paraId="1A010000">
      <w:pPr>
        <w:ind w:firstLine="709" w:left="0"/>
        <w:contextualSpacing w:val="1"/>
        <w:rPr>
          <w:rFonts w:ascii="PT Astra Serif" w:hAnsi="PT Astra Serif"/>
          <w:color w:val="000000"/>
          <w:sz w:val="28"/>
        </w:rPr>
      </w:pPr>
    </w:p>
    <w:p w14:paraId="1B010000">
      <w:pPr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1C010000">
      <w:pPr>
        <w:ind w:firstLine="705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Донской.</w:t>
      </w:r>
    </w:p>
    <w:p w14:paraId="1D01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1E010000">
      <w:pPr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 1</w:t>
      </w:r>
    </w:p>
    <w:p w14:paraId="1F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20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Энергоэффективность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Донской</w:t>
      </w:r>
      <w:r>
        <w:rPr>
          <w:rFonts w:ascii="PT Astra Serif" w:hAnsi="PT Astra Serif"/>
          <w:sz w:val="28"/>
        </w:rPr>
        <w:t>»</w:t>
      </w:r>
    </w:p>
    <w:p w14:paraId="21010000">
      <w:pPr>
        <w:widowControl w:val="0"/>
        <w:ind w:firstLine="0" w:left="9498"/>
        <w:jc w:val="right"/>
        <w:rPr>
          <w:rFonts w:ascii="PT Astra Serif" w:hAnsi="PT Astra Serif"/>
          <w:sz w:val="28"/>
        </w:rPr>
      </w:pPr>
    </w:p>
    <w:p w14:paraId="22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23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24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25010000">
      <w:pPr>
        <w:pStyle w:val="Style_1"/>
        <w:widowControl w:val="1"/>
        <w:numPr>
          <w:ilvl w:val="0"/>
          <w:numId w:val="2"/>
        </w:num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26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27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Ответственный исполнитель </w:t>
            </w:r>
            <w:r>
              <w:rPr>
                <w:rFonts w:ascii="PT Astra Serif" w:hAnsi="PT Astra Serif"/>
                <w:sz w:val="28"/>
              </w:rPr>
              <w:t>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28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2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2A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2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2C010000">
            <w:pPr>
              <w:ind w:firstLine="0" w:left="0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Устойчивое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безопасности.</w:t>
            </w:r>
          </w:p>
        </w:tc>
      </w:tr>
      <w:tr>
        <w:trPr>
          <w:trHeight w:hRule="atLeast" w:val="2943"/>
        </w:trPr>
        <w:tc>
          <w:tcPr>
            <w:tcW w:type="dxa" w:w="4106"/>
            <w:vAlign w:val="center"/>
          </w:tcPr>
          <w:p w14:paraId="2D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2E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Итого </w:t>
            </w: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  <w:sz w:val="28"/>
              </w:rPr>
              <w:t xml:space="preserve">: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 xml:space="preserve">9 </w:t>
            </w:r>
            <w:r>
              <w:rPr>
                <w:rFonts w:ascii="PT Astra Serif" w:hAnsi="PT Astra Serif"/>
                <w:sz w:val="28"/>
              </w:rPr>
              <w:t>257</w:t>
            </w:r>
            <w:r>
              <w:rPr>
                <w:rFonts w:ascii="PT Astra Serif" w:hAnsi="PT Astra Serif"/>
                <w:sz w:val="28"/>
              </w:rPr>
              <w:t>,00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рублей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2F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ЧИСЛЕ:</w:t>
            </w:r>
          </w:p>
          <w:p w14:paraId="30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 2022 год –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29 43</w:t>
            </w:r>
            <w:r>
              <w:rPr>
                <w:rFonts w:ascii="PT Astra Serif" w:hAnsi="PT Astra Serif"/>
                <w:sz w:val="28"/>
              </w:rPr>
              <w:t>0,00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рублей</w:t>
            </w:r>
          </w:p>
          <w:p w14:paraId="31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2023 год – </w:t>
            </w:r>
            <w:r>
              <w:rPr>
                <w:rFonts w:ascii="PT Astra Serif" w:hAnsi="PT Astra Serif"/>
                <w:sz w:val="28"/>
              </w:rPr>
              <w:t>29 933</w:t>
            </w:r>
            <w:r>
              <w:rPr>
                <w:rFonts w:ascii="PT Astra Serif" w:hAnsi="PT Astra Serif"/>
                <w:sz w:val="28"/>
              </w:rPr>
              <w:t>,00 рублей</w:t>
            </w:r>
          </w:p>
          <w:p w14:paraId="32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2024 год – </w:t>
            </w:r>
            <w:r>
              <w:rPr>
                <w:rFonts w:ascii="PT Astra Serif" w:hAnsi="PT Astra Serif"/>
                <w:sz w:val="28"/>
              </w:rPr>
              <w:t>29 894,</w:t>
            </w:r>
            <w:r>
              <w:rPr>
                <w:rFonts w:ascii="PT Astra Serif" w:hAnsi="PT Astra Serif"/>
                <w:sz w:val="28"/>
              </w:rPr>
              <w:t>00 рублей</w:t>
            </w:r>
          </w:p>
          <w:p w14:paraId="33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2025 год – 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0 000,00 рублей</w:t>
            </w:r>
          </w:p>
          <w:p w14:paraId="34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 2026 год - 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0 000,00 рублей</w:t>
            </w:r>
          </w:p>
          <w:p w14:paraId="35010000">
            <w:pPr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 2027 год – 30 000,00 рублей</w:t>
            </w:r>
          </w:p>
        </w:tc>
      </w:tr>
    </w:tbl>
    <w:p w14:paraId="3601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37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8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9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A01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B010000">
      <w:pPr>
        <w:pStyle w:val="Style_6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3C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3D01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528"/>
        <w:gridCol w:w="3004"/>
        <w:gridCol w:w="3850"/>
        <w:gridCol w:w="1176"/>
        <w:gridCol w:w="1033"/>
        <w:gridCol w:w="892"/>
        <w:gridCol w:w="892"/>
        <w:gridCol w:w="858"/>
        <w:gridCol w:w="780"/>
        <w:gridCol w:w="64"/>
        <w:gridCol w:w="844"/>
        <w:gridCol w:w="781"/>
      </w:tblGrid>
      <w:tr>
        <w:tc>
          <w:tcPr>
            <w:tcW w:type="dxa" w:w="528"/>
            <w:vMerge w:val="restart"/>
            <w:vAlign w:val="center"/>
          </w:tcPr>
          <w:p w14:paraId="3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3004"/>
            <w:vMerge w:val="restart"/>
            <w:vAlign w:val="center"/>
          </w:tcPr>
          <w:p w14:paraId="3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3850"/>
            <w:vMerge w:val="restart"/>
            <w:vAlign w:val="center"/>
          </w:tcPr>
          <w:p w14:paraId="4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176"/>
            <w:vMerge w:val="restart"/>
            <w:vAlign w:val="center"/>
          </w:tcPr>
          <w:p w14:paraId="4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 (по ОКЕИ)</w:t>
            </w:r>
          </w:p>
        </w:tc>
        <w:tc>
          <w:tcPr>
            <w:tcW w:type="dxa" w:w="1033"/>
            <w:vMerge w:val="restart"/>
            <w:vAlign w:val="center"/>
          </w:tcPr>
          <w:p w14:paraId="4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Базовое значение</w:t>
            </w:r>
          </w:p>
        </w:tc>
        <w:tc>
          <w:tcPr>
            <w:tcW w:type="dxa" w:w="5111"/>
            <w:gridSpan w:val="7"/>
            <w:vAlign w:val="center"/>
          </w:tcPr>
          <w:p w14:paraId="4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gridSpan w:val="1"/>
            <w:vMerge w:val="continue"/>
            <w:vAlign w:val="center"/>
          </w:tcPr>
          <w:p/>
        </w:tc>
        <w:tc>
          <w:tcPr>
            <w:tcW w:type="dxa" w:w="1176"/>
            <w:gridSpan w:val="1"/>
            <w:vMerge w:val="continue"/>
            <w:vAlign w:val="center"/>
          </w:tcPr>
          <w:p/>
        </w:tc>
        <w:tc>
          <w:tcPr>
            <w:tcW w:type="dxa" w:w="1033"/>
            <w:gridSpan w:val="1"/>
            <w:vMerge w:val="continue"/>
            <w:vAlign w:val="center"/>
          </w:tcPr>
          <w:p/>
        </w:tc>
        <w:tc>
          <w:tcPr>
            <w:tcW w:type="dxa" w:w="892"/>
            <w:vAlign w:val="center"/>
          </w:tcPr>
          <w:p w14:paraId="4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892"/>
            <w:vAlign w:val="center"/>
          </w:tcPr>
          <w:p w14:paraId="45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858"/>
            <w:vAlign w:val="center"/>
          </w:tcPr>
          <w:p w14:paraId="46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844"/>
            <w:gridSpan w:val="2"/>
            <w:vAlign w:val="center"/>
          </w:tcPr>
          <w:p w14:paraId="47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844"/>
            <w:vAlign w:val="center"/>
          </w:tcPr>
          <w:p w14:paraId="48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781"/>
            <w:vAlign w:val="center"/>
          </w:tcPr>
          <w:p w14:paraId="49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</w:tr>
      <w:tr>
        <w:tc>
          <w:tcPr>
            <w:tcW w:type="dxa" w:w="528"/>
            <w:vAlign w:val="center"/>
          </w:tcPr>
          <w:p w14:paraId="4A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3004"/>
            <w:vAlign w:val="center"/>
          </w:tcPr>
          <w:p w14:paraId="4B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850"/>
            <w:vAlign w:val="center"/>
          </w:tcPr>
          <w:p w14:paraId="4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176"/>
            <w:vAlign w:val="center"/>
          </w:tcPr>
          <w:p w14:paraId="4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033"/>
            <w:vAlign w:val="center"/>
          </w:tcPr>
          <w:p w14:paraId="4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892"/>
            <w:vAlign w:val="center"/>
          </w:tcPr>
          <w:p w14:paraId="4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892"/>
            <w:vAlign w:val="center"/>
          </w:tcPr>
          <w:p w14:paraId="5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858"/>
            <w:vAlign w:val="center"/>
          </w:tcPr>
          <w:p w14:paraId="5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44"/>
            <w:gridSpan w:val="2"/>
            <w:vAlign w:val="center"/>
          </w:tcPr>
          <w:p w14:paraId="5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844"/>
            <w:vAlign w:val="center"/>
          </w:tcPr>
          <w:p w14:paraId="5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781"/>
            <w:vAlign w:val="center"/>
          </w:tcPr>
          <w:p w14:paraId="54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</w:t>
            </w:r>
          </w:p>
        </w:tc>
      </w:tr>
      <w:tr>
        <w:trPr>
          <w:trHeight w:hRule="atLeast" w:val="461"/>
        </w:trPr>
        <w:tc>
          <w:tcPr>
            <w:tcW w:type="dxa" w:w="14702"/>
            <w:gridSpan w:val="12"/>
            <w:vAlign w:val="center"/>
          </w:tcPr>
          <w:p w14:paraId="5501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Задача 1: </w:t>
            </w:r>
            <w:r>
              <w:rPr>
                <w:rFonts w:ascii="PT Astra Serif" w:hAnsi="PT Astra Serif"/>
                <w:b w:val="1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555"/>
        </w:trPr>
        <w:tc>
          <w:tcPr>
            <w:tcW w:type="dxa" w:w="528"/>
            <w:vMerge w:val="restart"/>
            <w:vAlign w:val="center"/>
          </w:tcPr>
          <w:p w14:paraId="5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type="dxa" w:w="3004"/>
            <w:vMerge w:val="restart"/>
            <w:vAlign w:val="center"/>
          </w:tcPr>
          <w:p w14:paraId="57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type="dxa" w:w="3850"/>
            <w:vAlign w:val="center"/>
          </w:tcPr>
          <w:p w14:paraId="58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7320"/>
            <w:gridSpan w:val="9"/>
            <w:vMerge w:val="restart"/>
            <w:vAlign w:val="center"/>
          </w:tcPr>
          <w:p w14:paraId="5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«Модернизация и капитальный ремонт объектов коммунальной инфраструктуры муниципального образования город Донской» </w:t>
            </w:r>
            <w:r>
              <w:rPr>
                <w:rFonts w:ascii="PT Astra Serif" w:hAnsi="PT Astra Serif"/>
                <w:sz w:val="20"/>
              </w:rPr>
              <w:t>управления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63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5A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743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5B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575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5C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реконструированных, отремонтированных котельных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832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5D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845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5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551"/>
        </w:trPr>
        <w:tc>
          <w:tcPr>
            <w:tcW w:type="dxa" w:w="528"/>
            <w:vMerge w:val="restart"/>
            <w:vAlign w:val="center"/>
          </w:tcPr>
          <w:p w14:paraId="5F010000">
            <w:pPr>
              <w:widowControl w:val="0"/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type="dxa" w:w="3004"/>
            <w:vMerge w:val="restart"/>
            <w:vAlign w:val="center"/>
          </w:tcPr>
          <w:p w14:paraId="60010000">
            <w:pPr>
              <w:pStyle w:val="Style_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type="dxa" w:w="3850"/>
            <w:vAlign w:val="center"/>
          </w:tcPr>
          <w:p w14:paraId="6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type="dxa" w:w="1176"/>
            <w:vAlign w:val="center"/>
          </w:tcPr>
          <w:p w14:paraId="6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6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</w:t>
            </w:r>
          </w:p>
        </w:tc>
        <w:tc>
          <w:tcPr>
            <w:tcW w:type="dxa" w:w="892"/>
            <w:vAlign w:val="center"/>
          </w:tcPr>
          <w:p w14:paraId="6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</w:t>
            </w:r>
          </w:p>
        </w:tc>
        <w:tc>
          <w:tcPr>
            <w:tcW w:type="dxa" w:w="892"/>
            <w:vAlign w:val="center"/>
          </w:tcPr>
          <w:p w14:paraId="6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</w:t>
            </w:r>
          </w:p>
        </w:tc>
        <w:tc>
          <w:tcPr>
            <w:tcW w:type="dxa" w:w="858"/>
            <w:vAlign w:val="center"/>
          </w:tcPr>
          <w:p w14:paraId="6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</w:t>
            </w:r>
          </w:p>
        </w:tc>
        <w:tc>
          <w:tcPr>
            <w:tcW w:type="dxa" w:w="780"/>
            <w:vAlign w:val="center"/>
          </w:tcPr>
          <w:p w14:paraId="6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908"/>
            <w:gridSpan w:val="2"/>
            <w:vAlign w:val="center"/>
          </w:tcPr>
          <w:p w14:paraId="6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  <w:tc>
          <w:tcPr>
            <w:tcW w:type="dxa" w:w="781"/>
            <w:vAlign w:val="center"/>
          </w:tcPr>
          <w:p w14:paraId="6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</w:t>
            </w:r>
          </w:p>
        </w:tc>
      </w:tr>
      <w:tr>
        <w:trPr>
          <w:trHeight w:hRule="atLeast" w:val="841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6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модернизированных и (или) оснащенных объектов культурно-досугового типа</w:t>
            </w:r>
          </w:p>
        </w:tc>
        <w:tc>
          <w:tcPr>
            <w:tcW w:type="dxa" w:w="7320"/>
            <w:gridSpan w:val="9"/>
            <w:vAlign w:val="center"/>
          </w:tcPr>
          <w:p w14:paraId="6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«Развитие культуры муниципального образования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1034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6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модернизированных и(или) оснащенных объектов спорта</w:t>
            </w:r>
          </w:p>
        </w:tc>
        <w:tc>
          <w:tcPr>
            <w:tcW w:type="dxa" w:w="7320"/>
            <w:gridSpan w:val="9"/>
            <w:vAlign w:val="center"/>
          </w:tcPr>
          <w:p w14:paraId="6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«Развитие физической культуры и спорта в муниципальном образовании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85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6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дошкольного образования</w:t>
            </w:r>
          </w:p>
        </w:tc>
        <w:tc>
          <w:tcPr>
            <w:tcW w:type="dxa" w:w="7320"/>
            <w:gridSpan w:val="9"/>
            <w:vMerge w:val="restart"/>
            <w:vAlign w:val="center"/>
          </w:tcPr>
          <w:p w14:paraId="6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«Развитие образования муниципального образования город Донской» комитета по образованию администрации муниципального образования город Донской</w:t>
            </w:r>
          </w:p>
        </w:tc>
      </w:tr>
      <w:tr>
        <w:trPr>
          <w:trHeight w:hRule="atLeast" w:val="85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7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общего образования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7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дополнительного образования</w:t>
            </w:r>
          </w:p>
        </w:tc>
        <w:tc>
          <w:tcPr>
            <w:tcW w:type="dxa" w:w="7320"/>
            <w:gridSpan w:val="9"/>
            <w:vMerge w:val="continue"/>
            <w:vAlign w:val="center"/>
          </w:tcPr>
          <w:p/>
        </w:tc>
      </w:tr>
      <w:tr>
        <w:trPr>
          <w:trHeight w:hRule="atLeast" w:val="85"/>
        </w:trPr>
        <w:tc>
          <w:tcPr>
            <w:tcW w:type="dxa" w:w="528"/>
            <w:vAlign w:val="center"/>
          </w:tcPr>
          <w:p w14:paraId="7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type="dxa" w:w="3004"/>
            <w:vAlign w:val="center"/>
          </w:tcPr>
          <w:p w14:paraId="73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</w:tc>
        <w:tc>
          <w:tcPr>
            <w:tcW w:type="dxa" w:w="3850"/>
            <w:vAlign w:val="center"/>
          </w:tcPr>
          <w:p w14:paraId="7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type="dxa" w:w="1176"/>
            <w:vAlign w:val="center"/>
          </w:tcPr>
          <w:p w14:paraId="7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7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92"/>
            <w:vAlign w:val="center"/>
          </w:tcPr>
          <w:p w14:paraId="7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92"/>
            <w:vAlign w:val="center"/>
          </w:tcPr>
          <w:p w14:paraId="7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8"/>
            <w:vAlign w:val="center"/>
          </w:tcPr>
          <w:p w14:paraId="7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44"/>
            <w:gridSpan w:val="2"/>
            <w:vAlign w:val="center"/>
          </w:tcPr>
          <w:p w14:paraId="7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44"/>
            <w:vAlign w:val="center"/>
          </w:tcPr>
          <w:p w14:paraId="7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81"/>
            <w:vAlign w:val="center"/>
          </w:tcPr>
          <w:p w14:paraId="7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85"/>
        </w:trPr>
        <w:tc>
          <w:tcPr>
            <w:tcW w:type="dxa" w:w="528"/>
            <w:vAlign w:val="center"/>
          </w:tcPr>
          <w:p w14:paraId="7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type="dxa" w:w="3004"/>
            <w:vAlign w:val="center"/>
          </w:tcPr>
          <w:p w14:paraId="7E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type="dxa" w:w="3850"/>
            <w:vAlign w:val="center"/>
          </w:tcPr>
          <w:p w14:paraId="7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type="dxa" w:w="1176"/>
            <w:vAlign w:val="center"/>
          </w:tcPr>
          <w:p w14:paraId="8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8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92"/>
            <w:vAlign w:val="center"/>
          </w:tcPr>
          <w:p w14:paraId="8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92"/>
            <w:vAlign w:val="center"/>
          </w:tcPr>
          <w:p w14:paraId="8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8"/>
            <w:vAlign w:val="center"/>
          </w:tcPr>
          <w:p w14:paraId="8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44"/>
            <w:gridSpan w:val="2"/>
            <w:vAlign w:val="center"/>
          </w:tcPr>
          <w:p w14:paraId="8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44"/>
            <w:vAlign w:val="center"/>
          </w:tcPr>
          <w:p w14:paraId="8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81"/>
            <w:vAlign w:val="center"/>
          </w:tcPr>
          <w:p w14:paraId="8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01"/>
        </w:trPr>
        <w:tc>
          <w:tcPr>
            <w:tcW w:type="dxa" w:w="528"/>
            <w:vMerge w:val="restart"/>
            <w:vAlign w:val="center"/>
          </w:tcPr>
          <w:p w14:paraId="8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type="dxa" w:w="3004"/>
            <w:vMerge w:val="restart"/>
            <w:vAlign w:val="center"/>
          </w:tcPr>
          <w:p w14:paraId="89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type="dxa" w:w="3850"/>
            <w:vAlign w:val="center"/>
          </w:tcPr>
          <w:p w14:paraId="8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автотранспортным предприятиям </w:t>
            </w:r>
            <w:r>
              <w:rPr>
                <w:rFonts w:ascii="PT Astra Serif" w:hAnsi="PT Astra Serif"/>
                <w:highlight w:val="white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8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033"/>
            <w:vAlign w:val="center"/>
          </w:tcPr>
          <w:p w14:paraId="8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92"/>
            <w:vAlign w:val="center"/>
          </w:tcPr>
          <w:p w14:paraId="8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92"/>
            <w:vAlign w:val="center"/>
          </w:tcPr>
          <w:p w14:paraId="8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8"/>
            <w:vAlign w:val="center"/>
          </w:tcPr>
          <w:p w14:paraId="8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bookmarkStart w:id="1" w:name="_GoBack"/>
            <w:bookmarkEnd w:id="1"/>
          </w:p>
        </w:tc>
        <w:tc>
          <w:tcPr>
            <w:tcW w:type="dxa" w:w="844"/>
            <w:gridSpan w:val="2"/>
            <w:vAlign w:val="center"/>
          </w:tcPr>
          <w:p w14:paraId="9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44"/>
            <w:vAlign w:val="center"/>
          </w:tcPr>
          <w:p w14:paraId="9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81"/>
            <w:vAlign w:val="center"/>
          </w:tcPr>
          <w:p w14:paraId="9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00"/>
        </w:trPr>
        <w:tc>
          <w:tcPr>
            <w:tcW w:type="dxa" w:w="528"/>
            <w:gridSpan w:val="1"/>
            <w:vMerge w:val="continue"/>
            <w:vAlign w:val="center"/>
          </w:tcPr>
          <w:p/>
        </w:tc>
        <w:tc>
          <w:tcPr>
            <w:tcW w:type="dxa" w:w="3004"/>
            <w:gridSpan w:val="1"/>
            <w:vMerge w:val="continue"/>
            <w:vAlign w:val="center"/>
          </w:tcPr>
          <w:p/>
        </w:tc>
        <w:tc>
          <w:tcPr>
            <w:tcW w:type="dxa" w:w="3850"/>
            <w:vAlign w:val="center"/>
          </w:tcPr>
          <w:p w14:paraId="9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highlight w:val="white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повышении энергетической эффективности путем использования</w:t>
            </w:r>
            <w:r>
              <w:rPr>
                <w:rFonts w:ascii="PT Astra Serif" w:hAnsi="PT Astra Serif"/>
                <w:highlight w:val="white"/>
              </w:rPr>
              <w:t xml:space="preserve"> природного газа в качестве моторного топлива</w:t>
            </w:r>
          </w:p>
        </w:tc>
        <w:tc>
          <w:tcPr>
            <w:tcW w:type="dxa" w:w="1176"/>
            <w:vAlign w:val="center"/>
          </w:tcPr>
          <w:p w14:paraId="9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</w:t>
            </w:r>
          </w:p>
        </w:tc>
        <w:tc>
          <w:tcPr>
            <w:tcW w:type="dxa" w:w="1033"/>
            <w:vAlign w:val="center"/>
          </w:tcPr>
          <w:p w14:paraId="9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92"/>
            <w:vAlign w:val="center"/>
          </w:tcPr>
          <w:p w14:paraId="9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92"/>
            <w:vAlign w:val="center"/>
          </w:tcPr>
          <w:p w14:paraId="9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8"/>
            <w:vAlign w:val="center"/>
          </w:tcPr>
          <w:p w14:paraId="98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44"/>
            <w:gridSpan w:val="2"/>
            <w:vAlign w:val="center"/>
          </w:tcPr>
          <w:p w14:paraId="99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44"/>
            <w:vAlign w:val="center"/>
          </w:tcPr>
          <w:p w14:paraId="9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81"/>
            <w:vAlign w:val="center"/>
          </w:tcPr>
          <w:p w14:paraId="9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081"/>
        </w:trPr>
        <w:tc>
          <w:tcPr>
            <w:tcW w:type="dxa" w:w="528"/>
            <w:vAlign w:val="center"/>
          </w:tcPr>
          <w:p w14:paraId="9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1.6.</w:t>
            </w:r>
          </w:p>
        </w:tc>
        <w:tc>
          <w:tcPr>
            <w:tcW w:type="dxa" w:w="3004"/>
            <w:vAlign w:val="center"/>
          </w:tcPr>
          <w:p w14:paraId="9D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3850"/>
            <w:vAlign w:val="center"/>
          </w:tcPr>
          <w:p w14:paraId="9E010000">
            <w:pPr>
              <w:pStyle w:val="Style_1"/>
              <w:widowControl w:val="1"/>
              <w:ind w:firstLine="0" w:left="0"/>
              <w:jc w:val="center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 xml:space="preserve">Количество сюжетов,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highlight w:val="white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176"/>
            <w:vAlign w:val="center"/>
          </w:tcPr>
          <w:p w14:paraId="9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033"/>
            <w:vAlign w:val="center"/>
          </w:tcPr>
          <w:p w14:paraId="A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92"/>
            <w:vAlign w:val="center"/>
          </w:tcPr>
          <w:p w14:paraId="A1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92"/>
            <w:vAlign w:val="center"/>
          </w:tcPr>
          <w:p w14:paraId="A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8"/>
            <w:vAlign w:val="center"/>
          </w:tcPr>
          <w:p w14:paraId="A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44"/>
            <w:gridSpan w:val="2"/>
            <w:vAlign w:val="center"/>
          </w:tcPr>
          <w:p w14:paraId="A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44"/>
            <w:vAlign w:val="center"/>
          </w:tcPr>
          <w:p w14:paraId="A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81"/>
            <w:vAlign w:val="center"/>
          </w:tcPr>
          <w:p w14:paraId="A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338"/>
        </w:trPr>
        <w:tc>
          <w:tcPr>
            <w:tcW w:type="dxa" w:w="528"/>
            <w:vAlign w:val="center"/>
          </w:tcPr>
          <w:p w14:paraId="A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1.7.</w:t>
            </w:r>
          </w:p>
        </w:tc>
        <w:tc>
          <w:tcPr>
            <w:tcW w:type="dxa" w:w="3004"/>
            <w:vAlign w:val="center"/>
          </w:tcPr>
          <w:p w14:paraId="A8010000">
            <w:pPr>
              <w:pStyle w:val="Style_1"/>
              <w:widowControl w:val="1"/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Выявление и организация управления бесхозяйными объектами недвижимого имущества, используемых для передачи энергетических ресурсов</w:t>
            </w:r>
          </w:p>
        </w:tc>
        <w:tc>
          <w:tcPr>
            <w:tcW w:type="dxa" w:w="3850"/>
            <w:vAlign w:val="center"/>
          </w:tcPr>
          <w:p w14:paraId="A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выявленных </w:t>
            </w:r>
            <w:r>
              <w:rPr>
                <w:rFonts w:ascii="PT Astra Serif" w:hAnsi="PT Astra Serif"/>
                <w:highlight w:val="white"/>
              </w:rPr>
              <w:t>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type="dxa" w:w="7320"/>
            <w:gridSpan w:val="9"/>
            <w:vAlign w:val="center"/>
          </w:tcPr>
          <w:p w14:paraId="AA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</w:rPr>
              <w:t>реализуется</w:t>
            </w:r>
            <w:r>
              <w:rPr>
                <w:rFonts w:ascii="PT Astra Serif" w:hAnsi="PT Astra Serif"/>
                <w:sz w:val="20"/>
              </w:rPr>
              <w:t xml:space="preserve"> в</w:t>
            </w:r>
            <w:r>
              <w:rPr>
                <w:rFonts w:ascii="PT Astra Serif" w:hAnsi="PT Astra Serif"/>
                <w:sz w:val="20"/>
              </w:rPr>
              <w:t xml:space="preserve"> рамках </w:t>
            </w:r>
            <w:r>
              <w:rPr>
                <w:rFonts w:ascii="PT Astra Serif" w:hAnsi="PT Astra Serif"/>
                <w:sz w:val="20"/>
              </w:rPr>
              <w:t>м</w:t>
            </w:r>
            <w:r>
              <w:rPr>
                <w:rFonts w:ascii="PT Astra Serif" w:hAnsi="PT Astra Serif"/>
                <w:sz w:val="20"/>
              </w:rPr>
              <w:t>униципальной 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«Управление муниципальным имуществом и земельными ресурсами» комитета имущественных и земельных отношений администрации муниципального образования город Донской</w:t>
            </w:r>
          </w:p>
        </w:tc>
      </w:tr>
    </w:tbl>
    <w:p w14:paraId="AB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AC01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AD010000">
      <w:pPr>
        <w:pStyle w:val="Style_6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Финансовое обеспечение комплекса процессных мероприятий</w:t>
      </w:r>
    </w:p>
    <w:p w14:paraId="AE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AF01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4"/>
        <w:gridCol w:w="5809"/>
        <w:gridCol w:w="1275"/>
        <w:gridCol w:w="1134"/>
        <w:gridCol w:w="1137"/>
        <w:gridCol w:w="1167"/>
        <w:gridCol w:w="1047"/>
        <w:gridCol w:w="1143"/>
        <w:gridCol w:w="1146"/>
      </w:tblGrid>
      <w:tr>
        <w:tc>
          <w:tcPr>
            <w:tcW w:type="dxa" w:w="69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80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</w:trPr>
        <w:tc>
          <w:tcPr>
            <w:tcW w:type="dxa" w:w="69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</w:tr>
      <w:tr>
        <w:trPr>
          <w:trHeight w:hRule="atLeast" w:val="427"/>
        </w:trPr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385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Задача 1: </w:t>
            </w:r>
            <w:r>
              <w:rPr>
                <w:rFonts w:ascii="PT Astra Serif" w:hAnsi="PT Astra Serif"/>
                <w:b w:val="1"/>
                <w:color w:val="000000"/>
                <w:sz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1.2.</w:t>
            </w:r>
          </w:p>
          <w:p w14:paraId="C4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1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29 430,00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29 933,00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29 894,00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179 257,00</w:t>
            </w: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1.4.</w:t>
            </w:r>
          </w:p>
          <w:p w14:paraId="D5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1.5.</w:t>
            </w:r>
          </w:p>
          <w:p w14:paraId="E6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 w:firstLine="0" w:left="0"/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</w:pPr>
            <w:r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  <w:t>Мероприятие 1.6.</w:t>
            </w:r>
          </w:p>
          <w:p w14:paraId="F7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sz w:val="20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1"/>
        </w:trPr>
        <w:tc>
          <w:tcPr>
            <w:tcW w:type="dxa" w:w="6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 w:firstLine="0" w:left="0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0702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0802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0902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0A02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0B020000">
      <w:pPr>
        <w:pStyle w:val="Style_6"/>
        <w:widowControl w:val="0"/>
        <w:spacing w:after="0" w:line="240" w:lineRule="auto"/>
        <w:ind w:firstLine="0" w:left="0"/>
        <w:rPr>
          <w:rFonts w:ascii="PT Astra Serif" w:hAnsi="PT Astra Serif"/>
          <w:b w:val="1"/>
          <w:sz w:val="26"/>
        </w:rPr>
      </w:pPr>
    </w:p>
    <w:p w14:paraId="0C020000">
      <w:pPr>
        <w:pStyle w:val="Style_6"/>
        <w:widowControl w:val="0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0D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</w:t>
      </w:r>
      <w:r>
        <w:rPr>
          <w:rFonts w:ascii="PT Astra Serif" w:hAnsi="PT Astra Serif"/>
          <w:b w:val="1"/>
          <w:sz w:val="26"/>
        </w:rPr>
        <w:t>Реализация мероприятий по энергоэффективности муниципального образования город Донской</w:t>
      </w:r>
      <w:r>
        <w:rPr>
          <w:rFonts w:ascii="PT Astra Serif" w:hAnsi="PT Astra Serif"/>
          <w:b w:val="1"/>
          <w:sz w:val="26"/>
        </w:rPr>
        <w:t>»</w:t>
      </w:r>
    </w:p>
    <w:p w14:paraId="0E020000">
      <w:pPr>
        <w:pStyle w:val="Style_6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Ind w:type="dxa" w:w="-289"/>
        <w:tblLayout w:type="fixed"/>
      </w:tblPr>
      <w:tblGrid>
        <w:gridCol w:w="8222"/>
        <w:gridCol w:w="1701"/>
        <w:gridCol w:w="2835"/>
        <w:gridCol w:w="2233"/>
      </w:tblGrid>
      <w:tr>
        <w:tc>
          <w:tcPr>
            <w:tcW w:type="dxa" w:w="8222"/>
            <w:vAlign w:val="center"/>
          </w:tcPr>
          <w:p w14:paraId="0F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type="dxa" w:w="1701"/>
            <w:vAlign w:val="center"/>
          </w:tcPr>
          <w:p w14:paraId="10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Дата наступления контрольной точки</w:t>
            </w:r>
          </w:p>
        </w:tc>
        <w:tc>
          <w:tcPr>
            <w:tcW w:type="dxa" w:w="2835"/>
            <w:vAlign w:val="center"/>
          </w:tcPr>
          <w:p w14:paraId="11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2233"/>
            <w:vAlign w:val="center"/>
          </w:tcPr>
          <w:p w14:paraId="12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8222"/>
          </w:tcPr>
          <w:p w14:paraId="13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701"/>
          </w:tcPr>
          <w:p w14:paraId="14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835"/>
          </w:tcPr>
          <w:p w14:paraId="15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2233"/>
          </w:tcPr>
          <w:p w14:paraId="16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</w:tr>
      <w:tr>
        <w:trPr>
          <w:trHeight w:hRule="atLeast" w:val="303"/>
        </w:trPr>
        <w:tc>
          <w:tcPr>
            <w:tcW w:type="dxa" w:w="14991"/>
            <w:gridSpan w:val="4"/>
            <w:vAlign w:val="center"/>
          </w:tcPr>
          <w:p w14:paraId="1702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 xml:space="preserve">: </w:t>
            </w:r>
            <w:r>
              <w:rPr>
                <w:rFonts w:ascii="PT Astra Serif" w:hAnsi="PT Astra Serif"/>
                <w:b w:val="1"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18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1.2.</w:t>
            </w:r>
          </w:p>
          <w:p w14:paraId="19020000">
            <w:pPr>
              <w:pStyle w:val="Style_6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1A020000">
            <w:pPr>
              <w:pStyle w:val="Style_6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i w:val="1"/>
                <w:sz w:val="20"/>
              </w:rPr>
              <w:t xml:space="preserve">приобретение </w:t>
            </w:r>
            <w:r>
              <w:rPr>
                <w:rStyle w:val="Style_4_ch"/>
                <w:rFonts w:ascii="PT Astra Serif" w:hAnsi="PT Astra Serif"/>
                <w:i w:val="1"/>
              </w:rPr>
              <w:t>энергосберегающих ламп</w:t>
            </w:r>
            <w:r>
              <w:rPr>
                <w:rStyle w:val="Style_4_ch"/>
                <w:rFonts w:ascii="PT Astra Serif" w:hAnsi="PT Astra Serif"/>
                <w:i w:val="1"/>
              </w:rPr>
              <w:t xml:space="preserve"> </w:t>
            </w:r>
          </w:p>
        </w:tc>
        <w:tc>
          <w:tcPr>
            <w:tcW w:type="dxa" w:w="1701"/>
            <w:vAlign w:val="center"/>
          </w:tcPr>
          <w:p w14:paraId="1B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1C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 </w:t>
            </w:r>
          </w:p>
        </w:tc>
        <w:tc>
          <w:tcPr>
            <w:tcW w:type="dxa" w:w="2233"/>
            <w:vAlign w:val="center"/>
          </w:tcPr>
          <w:p w14:paraId="1D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А</w:t>
            </w:r>
            <w:r>
              <w:rPr>
                <w:rFonts w:ascii="PT Astra Serif" w:hAnsi="PT Astra Serif"/>
                <w:color w:val="000000"/>
                <w:sz w:val="20"/>
              </w:rPr>
              <w:t>кт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</w:rPr>
              <w:t>приема-передачи товара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1E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1.3.</w:t>
            </w:r>
          </w:p>
          <w:p w14:paraId="1F020000">
            <w:pPr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  <w:p w14:paraId="20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>направление уведомлений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</w:t>
            </w:r>
          </w:p>
        </w:tc>
        <w:tc>
          <w:tcPr>
            <w:tcW w:type="dxa" w:w="1701"/>
            <w:vAlign w:val="center"/>
          </w:tcPr>
          <w:p w14:paraId="21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22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23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24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1.4.</w:t>
            </w:r>
          </w:p>
          <w:p w14:paraId="25020000">
            <w:pPr>
              <w:pStyle w:val="Style_6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Style w:val="Style_4_ch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26020000">
            <w:pPr>
              <w:pStyle w:val="Style_6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: </w:t>
            </w:r>
            <w:r>
              <w:rPr>
                <w:rFonts w:ascii="PT Astra Serif" w:hAnsi="PT Astra Serif"/>
                <w:i w:val="1"/>
                <w:sz w:val="20"/>
              </w:rPr>
              <w:t>направление уведомлений 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type="dxa" w:w="1701"/>
            <w:vAlign w:val="center"/>
          </w:tcPr>
          <w:p w14:paraId="27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28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29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2A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Style w:val="Style_4_ch"/>
                <w:rFonts w:ascii="PT Astra Serif" w:hAnsi="PT Astra Serif"/>
                <w:i w:val="1"/>
                <w:u w:val="single"/>
              </w:rPr>
              <w:t>Мероприятие 1.5.</w:t>
            </w:r>
          </w:p>
          <w:p w14:paraId="2B020000">
            <w:pPr>
              <w:ind w:firstLine="0" w:left="0"/>
              <w:rPr>
                <w:rStyle w:val="Style_4_ch"/>
                <w:rFonts w:ascii="PT Astra Serif" w:hAnsi="PT Astra Serif"/>
              </w:rPr>
            </w:pPr>
            <w:r>
              <w:rPr>
                <w:rStyle w:val="Style_4_ch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  <w:p w14:paraId="2C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i w:val="1"/>
                <w:sz w:val="20"/>
              </w:rPr>
              <w:t xml:space="preserve">направление уведомлений  автотранспортным предприятиям </w:t>
            </w:r>
            <w:r>
              <w:rPr>
                <w:rFonts w:ascii="PT Astra Serif" w:hAnsi="PT Astra Serif"/>
                <w:i w:val="1"/>
                <w:sz w:val="20"/>
                <w:highlight w:val="white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  <w:r>
              <w:rPr>
                <w:rFonts w:ascii="PT Astra Serif" w:hAnsi="PT Astra Serif"/>
                <w:i w:val="1"/>
                <w:sz w:val="20"/>
                <w:highlight w:val="white"/>
              </w:rPr>
              <w:t xml:space="preserve">, </w:t>
            </w:r>
            <w:r>
              <w:rPr>
                <w:rFonts w:ascii="PT Astra Serif" w:hAnsi="PT Astra Serif"/>
                <w:i w:val="1"/>
                <w:sz w:val="20"/>
              </w:rPr>
              <w:t xml:space="preserve">размещение </w:t>
            </w:r>
            <w:r>
              <w:rPr>
                <w:rStyle w:val="Style_4_ch"/>
                <w:rFonts w:ascii="PT Astra Serif" w:hAnsi="PT Astra Serif"/>
                <w:i w:val="1"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type="dxa" w:w="1701"/>
            <w:vAlign w:val="center"/>
          </w:tcPr>
          <w:p w14:paraId="2D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2E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2F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  <w:tr>
        <w:trPr>
          <w:trHeight w:hRule="atLeast" w:val="1277"/>
        </w:trPr>
        <w:tc>
          <w:tcPr>
            <w:tcW w:type="dxa" w:w="8222"/>
            <w:vAlign w:val="center"/>
          </w:tcPr>
          <w:p w14:paraId="30020000">
            <w:pPr>
              <w:ind w:firstLine="0" w:left="0"/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</w:pPr>
            <w:r>
              <w:rPr>
                <w:rFonts w:ascii="PT Astra Serif" w:hAnsi="PT Astra Serif"/>
                <w:i w:val="1"/>
                <w:sz w:val="20"/>
                <w:highlight w:val="white"/>
                <w:u w:val="single"/>
              </w:rPr>
              <w:t>Мероприятие 1.6.</w:t>
            </w:r>
          </w:p>
          <w:p w14:paraId="31020000">
            <w:pPr>
              <w:ind w:firstLine="0" w:left="0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sz w:val="20"/>
                <w:highlight w:val="white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  <w:p w14:paraId="32020000">
            <w:pPr>
              <w:ind w:firstLine="0" w:left="0"/>
              <w:rPr>
                <w:rStyle w:val="Style_4_ch"/>
                <w:rFonts w:ascii="PT Astra Serif" w:hAnsi="PT Astra Serif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i w:val="1"/>
                <w:sz w:val="20"/>
              </w:rPr>
              <w:t xml:space="preserve"> размещение </w:t>
            </w:r>
            <w:r>
              <w:rPr>
                <w:rStyle w:val="Style_4_ch"/>
                <w:rFonts w:ascii="PT Astra Serif" w:hAnsi="PT Astra Serif"/>
                <w:i w:val="1"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type="dxa" w:w="1701"/>
            <w:vAlign w:val="center"/>
          </w:tcPr>
          <w:p w14:paraId="33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835"/>
            <w:vAlign w:val="center"/>
          </w:tcPr>
          <w:p w14:paraId="34020000">
            <w:pPr>
              <w:pStyle w:val="Style_6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hAnsi="PT Astra Serif"/>
                <w:sz w:val="20"/>
              </w:rPr>
              <w:t>муниципального образования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type="dxa" w:w="2233"/>
            <w:vAlign w:val="center"/>
          </w:tcPr>
          <w:p w14:paraId="35020000">
            <w:pPr>
              <w:pStyle w:val="Style_8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</w:tbl>
    <w:p w14:paraId="36020000">
      <w:pPr>
        <w:widowControl w:val="0"/>
        <w:ind w:firstLine="0" w:left="0"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851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js-extracted-address"/>
    <w:basedOn w:val="Style_17"/>
    <w:link w:val="Style_16_ch"/>
  </w:style>
  <w:style w:styleId="Style_16_ch" w:type="character">
    <w:name w:val="js-extracted-address"/>
    <w:basedOn w:val="Style_17_ch"/>
    <w:link w:val="Style_16"/>
  </w:style>
  <w:style w:styleId="Style_18" w:type="paragraph">
    <w:name w:val="apple-converted-space"/>
    <w:basedOn w:val="Style_17"/>
    <w:link w:val="Style_18_ch"/>
  </w:style>
  <w:style w:styleId="Style_18_ch" w:type="character">
    <w:name w:val="apple-converted-space"/>
    <w:basedOn w:val="Style_17_ch"/>
    <w:link w:val="Style_18"/>
  </w:style>
  <w:style w:styleId="Style_19" w:type="paragraph">
    <w:name w:val="consplusnormal"/>
    <w:basedOn w:val="Style_9"/>
    <w:link w:val="Style_19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9_ch" w:type="character">
    <w:name w:val="consplusnormal"/>
    <w:basedOn w:val="Style_9_ch"/>
    <w:link w:val="Style_19"/>
    <w:rPr>
      <w:rFonts w:ascii="Times New Roman" w:hAnsi="Times New Roman"/>
    </w:rPr>
  </w:style>
  <w:style w:styleId="Style_20" w:type="paragraph">
    <w:name w:val="Стандартный HTML1"/>
    <w:basedOn w:val="Style_9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20_ch" w:type="character">
    <w:name w:val="Стандартный HTML1"/>
    <w:basedOn w:val="Style_9_ch"/>
    <w:link w:val="Style_20"/>
    <w:rPr>
      <w:rFonts w:ascii="Courier New" w:hAnsi="Courier New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1" w:type="paragraph">
    <w:name w:val="subheader"/>
    <w:basedOn w:val="Style_9"/>
    <w:link w:val="Style_21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21_ch" w:type="character">
    <w:name w:val="subheader"/>
    <w:basedOn w:val="Style_9_ch"/>
    <w:link w:val="Style_21"/>
    <w:rPr>
      <w:b w:val="1"/>
      <w:color w:val="000000"/>
      <w:sz w:val="19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ntstyle01"/>
    <w:basedOn w:val="Style_17"/>
    <w:link w:val="Style_23_ch"/>
    <w:rPr>
      <w:rFonts w:ascii="Times New Roman" w:hAnsi="Times New Roman"/>
      <w:b w:val="0"/>
      <w:i w:val="0"/>
      <w:color w:val="000000"/>
      <w:sz w:val="24"/>
    </w:rPr>
  </w:style>
  <w:style w:styleId="Style_23_ch" w:type="character">
    <w:name w:val="fontstyle01"/>
    <w:basedOn w:val="Style_17_ch"/>
    <w:link w:val="Style_23"/>
    <w:rPr>
      <w:rFonts w:ascii="Times New Roman" w:hAnsi="Times New Roman"/>
      <w:b w:val="0"/>
      <w:i w:val="0"/>
      <w:color w:val="000000"/>
      <w:sz w:val="24"/>
    </w:rPr>
  </w:style>
  <w:style w:styleId="Style_24" w:type="paragraph">
    <w:name w:val="Normal (Web)"/>
    <w:basedOn w:val="Style_9"/>
    <w:link w:val="Style_24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4_ch" w:type="character">
    <w:name w:val="Normal (Web)"/>
    <w:basedOn w:val="Style_9_ch"/>
    <w:link w:val="Style_24"/>
    <w:rPr>
      <w:rFonts w:ascii="Times New Roman" w:hAnsi="Times New Roman"/>
    </w:rPr>
  </w:style>
  <w:style w:styleId="Style_25" w:type="paragraph">
    <w:name w:val="formattext"/>
    <w:basedOn w:val="Style_9"/>
    <w:link w:val="Style_25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5_ch" w:type="character">
    <w:name w:val="formattext"/>
    <w:basedOn w:val="Style_9_ch"/>
    <w:link w:val="Style_25"/>
    <w:rPr>
      <w:rFonts w:ascii="Times New Roman" w:hAnsi="Times New Roman"/>
    </w:rPr>
  </w:style>
  <w:style w:styleId="Style_7" w:type="paragraph">
    <w:name w:val="No Spacing"/>
    <w:link w:val="Style_7_ch"/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7_ch" w:type="character">
    <w:name w:val="heading 1"/>
    <w:basedOn w:val="Style_9_ch"/>
    <w:link w:val="Style_27"/>
    <w:rPr>
      <w:rFonts w:ascii="Times New Roman" w:hAnsi="Times New Roman"/>
      <w:b w:val="1"/>
      <w:sz w:val="26"/>
    </w:rPr>
  </w:style>
  <w:style w:styleId="Style_4" w:type="paragraph">
    <w:name w:val="Font Style16"/>
    <w:basedOn w:val="Style_17"/>
    <w:link w:val="Style_4_ch"/>
    <w:rPr>
      <w:rFonts w:ascii="Arial" w:hAnsi="Arial"/>
      <w:sz w:val="20"/>
    </w:rPr>
  </w:style>
  <w:style w:styleId="Style_4_ch" w:type="character">
    <w:name w:val="Font Style16"/>
    <w:basedOn w:val="Style_17_ch"/>
    <w:link w:val="Style_4"/>
    <w:rPr>
      <w:rFonts w:ascii="Arial" w:hAnsi="Arial"/>
      <w:sz w:val="20"/>
    </w:rPr>
  </w:style>
  <w:style w:styleId="Style_28" w:type="paragraph">
    <w:name w:val="Balloon Text"/>
    <w:basedOn w:val="Style_9"/>
    <w:link w:val="Style_28_ch"/>
    <w:rPr>
      <w:rFonts w:ascii="Tahoma" w:hAnsi="Tahoma"/>
      <w:sz w:val="16"/>
    </w:rPr>
  </w:style>
  <w:style w:styleId="Style_28_ch" w:type="character">
    <w:name w:val="Balloon Text"/>
    <w:basedOn w:val="Style_9_ch"/>
    <w:link w:val="Style_28"/>
    <w:rPr>
      <w:rFonts w:ascii="Tahoma" w:hAnsi="Tahoma"/>
      <w:sz w:val="16"/>
    </w:rPr>
  </w:style>
  <w:style w:styleId="Style_29" w:type="paragraph">
    <w:name w:val="Hyperlink"/>
    <w:basedOn w:val="Style_17"/>
    <w:link w:val="Style_29_ch"/>
    <w:rPr>
      <w:color w:val="0000FF"/>
      <w:u w:val="single"/>
    </w:rPr>
  </w:style>
  <w:style w:styleId="Style_29_ch" w:type="character">
    <w:name w:val="Hyperlink"/>
    <w:basedOn w:val="Style_17_ch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6" w:type="paragraph">
    <w:name w:val="List Paragraph"/>
    <w:basedOn w:val="Style_9"/>
    <w:link w:val="Style_6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6_ch" w:type="character">
    <w:name w:val="List Paragraph"/>
    <w:basedOn w:val="Style_9_ch"/>
    <w:link w:val="Style_6"/>
    <w:rPr>
      <w:rFonts w:ascii="Calibri" w:hAnsi="Calibri"/>
      <w:sz w:val="22"/>
    </w:rPr>
  </w:style>
  <w:style w:styleId="Style_33" w:type="paragraph">
    <w:name w:val="toc 9"/>
    <w:next w:val="Style_9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9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9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mail-message-map-nobreak"/>
    <w:basedOn w:val="Style_17"/>
    <w:link w:val="Style_36_ch"/>
  </w:style>
  <w:style w:styleId="Style_36_ch" w:type="character">
    <w:name w:val="mail-message-map-nobreak"/>
    <w:basedOn w:val="Style_17_ch"/>
    <w:link w:val="Style_36"/>
  </w:style>
  <w:style w:styleId="Style_37" w:type="paragraph">
    <w:name w:val="Subtitle"/>
    <w:next w:val="Style_9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9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9"/>
    <w:next w:val="Style_9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9_ch"/>
    <w:link w:val="Style_39"/>
    <w:rPr>
      <w:rFonts w:asciiTheme="majorAscii" w:hAnsiTheme="majorHAnsi"/>
      <w:i w:val="1"/>
      <w:color w:themeColor="accent1" w:themeShade="BF" w:val="376092"/>
    </w:rPr>
  </w:style>
  <w:style w:styleId="Style_40" w:type="paragraph">
    <w:name w:val="heading 2"/>
    <w:basedOn w:val="Style_9"/>
    <w:next w:val="Style_9"/>
    <w:link w:val="Style_4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0_ch" w:type="character">
    <w:name w:val="heading 2"/>
    <w:basedOn w:val="Style_9_ch"/>
    <w:link w:val="Style_40"/>
    <w:rPr>
      <w:rFonts w:asciiTheme="majorAscii" w:hAnsiTheme="majorHAnsi"/>
      <w:b w:val="1"/>
      <w:color w:themeColor="accent1" w:val="4F81BD"/>
      <w:sz w:val="26"/>
    </w:rPr>
  </w:style>
  <w:style w:styleId="Style_8" w:type="paragraph">
    <w:name w:val="Standard"/>
    <w:link w:val="Style_8_ch"/>
    <w:pPr>
      <w:spacing w:after="160" w:line="264" w:lineRule="auto"/>
      <w:ind/>
    </w:pPr>
    <w:rPr>
      <w:sz w:val="22"/>
    </w:rPr>
  </w:style>
  <w:style w:styleId="Style_8_ch" w:type="character">
    <w:name w:val="Standard"/>
    <w:link w:val="Style_8"/>
    <w:rPr>
      <w:sz w:val="22"/>
    </w:rPr>
  </w:style>
  <w:style w:styleId="Style_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2025-02-07T08:32:20Z</dcterms:modified>
</cp:coreProperties>
</file>