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b w:val="1"/>
        </w:rPr>
      </w:pPr>
    </w:p>
    <w:p w14:paraId="04000000">
      <w:pPr>
        <w:ind/>
        <w:jc w:val="center"/>
        <w:rPr>
          <w:rFonts w:ascii="Times New Roman" w:hAnsi="Times New Roman"/>
          <w:b w:val="1"/>
        </w:rPr>
      </w:pPr>
    </w:p>
    <w:p w14:paraId="05000000">
      <w:pPr>
        <w:ind/>
        <w:jc w:val="center"/>
        <w:rPr>
          <w:rFonts w:ascii="Times New Roman" w:hAnsi="Times New Roman"/>
          <w:b w:val="1"/>
        </w:rPr>
      </w:pPr>
    </w:p>
    <w:p w14:paraId="06000000">
      <w:pPr>
        <w:ind/>
        <w:jc w:val="center"/>
        <w:rPr>
          <w:rFonts w:ascii="Times New Roman" w:hAnsi="Times New Roman"/>
          <w:b w:val="1"/>
        </w:rPr>
      </w:pPr>
    </w:p>
    <w:p w14:paraId="07000000">
      <w:pPr>
        <w:ind/>
        <w:jc w:val="center"/>
        <w:rPr>
          <w:rFonts w:ascii="Times New Roman" w:hAnsi="Times New Roman"/>
          <w:b w:val="1"/>
        </w:rPr>
      </w:pPr>
    </w:p>
    <w:p w14:paraId="08000000">
      <w:pPr>
        <w:ind/>
        <w:jc w:val="center"/>
        <w:rPr>
          <w:rFonts w:ascii="Times New Roman" w:hAnsi="Times New Roman"/>
          <w:b w:val="1"/>
        </w:rPr>
      </w:pPr>
    </w:p>
    <w:p w14:paraId="09000000">
      <w:pPr>
        <w:rPr>
          <w:rFonts w:ascii="Times New Roman" w:hAnsi="Times New Roman"/>
          <w:b w:val="1"/>
        </w:rPr>
      </w:pPr>
    </w:p>
    <w:p w14:paraId="0A000000">
      <w:pPr>
        <w:ind/>
        <w:jc w:val="center"/>
        <w:rPr>
          <w:rFonts w:ascii="Times New Roman" w:hAnsi="Times New Roman"/>
          <w:b w:val="1"/>
        </w:rPr>
      </w:pPr>
    </w:p>
    <w:p w14:paraId="0B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утверждении </w:t>
      </w:r>
      <w:r>
        <w:rPr>
          <w:rFonts w:ascii="PT Astra Serif" w:hAnsi="PT Astra Serif"/>
          <w:b w:val="1"/>
          <w:sz w:val="28"/>
        </w:rPr>
        <w:t xml:space="preserve">схем расположения земельных участков </w:t>
      </w:r>
    </w:p>
    <w:p w14:paraId="0C000000">
      <w:pPr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под многоквартирными жилыми домами</w:t>
      </w:r>
    </w:p>
    <w:p w14:paraId="0D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E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со ст. 11.10 Земельного кодекса</w:t>
      </w:r>
      <w:r>
        <w:rPr>
          <w:rFonts w:ascii="PT Astra Serif" w:hAnsi="PT Astra Serif"/>
          <w:sz w:val="28"/>
        </w:rPr>
        <w:t xml:space="preserve"> Российской Федерации, </w:t>
      </w:r>
      <w:r>
        <w:rPr>
          <w:rFonts w:ascii="PT Astra Serif" w:hAnsi="PT Astra Serif"/>
          <w:sz w:val="28"/>
        </w:rPr>
        <w:t xml:space="preserve">                  </w:t>
      </w:r>
      <w:r>
        <w:rPr>
          <w:rFonts w:ascii="PT Astra Serif" w:hAnsi="PT Astra Serif"/>
          <w:sz w:val="28"/>
        </w:rPr>
        <w:t>ст. 43, 57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Градостроительного кодекса Российской Федерации, Федеральным законом от 06.10.2003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131-ФЗ «Об общих принципах организации местного самоуправления в Российской Федерации», Федеральным законом от 18.06.2001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78-ФЗ «О землеустройстве», Федеральным законом от 24.07.2007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221-ФЗ «О государственном кадастре недвижимости», </w:t>
      </w:r>
      <w:r>
        <w:rPr>
          <w:rFonts w:ascii="PT Astra Serif" w:hAnsi="PT Astra Serif"/>
          <w:sz w:val="28"/>
        </w:rPr>
        <w:t xml:space="preserve">Федеральным законом от 24.07.2007 года № 221-ФЗ «О государственном кадастре недвижимости», </w:t>
      </w:r>
      <w:r>
        <w:rPr>
          <w:rFonts w:ascii="PT Astra Serif" w:hAnsi="PT Astra Serif"/>
          <w:sz w:val="28"/>
        </w:rPr>
        <w:t>Федеральны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> закон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  от </w:t>
      </w:r>
      <w:r>
        <w:rPr>
          <w:rFonts w:ascii="PT Astra Serif" w:hAnsi="PT Astra Serif"/>
          <w:sz w:val="28"/>
        </w:rPr>
        <w:t>30</w:t>
      </w:r>
      <w:r>
        <w:rPr>
          <w:rFonts w:ascii="PT Astra Serif" w:hAnsi="PT Astra Serif"/>
          <w:sz w:val="28"/>
        </w:rPr>
        <w:t>.1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478</w:t>
      </w:r>
      <w:r>
        <w:rPr>
          <w:rFonts w:ascii="PT Astra Serif" w:hAnsi="PT Astra Serif"/>
          <w:sz w:val="28"/>
        </w:rPr>
        <w:t>-ФЗ «О</w:t>
      </w:r>
      <w:r>
        <w:rPr>
          <w:rFonts w:ascii="PT Astra Serif" w:hAnsi="PT Astra Serif"/>
          <w:sz w:val="28"/>
        </w:rPr>
        <w:t xml:space="preserve"> внесении изменений в отдельные законодательные акты Российской Федерации», </w:t>
      </w:r>
      <w:r>
        <w:rPr>
          <w:rFonts w:ascii="PT Astra Serif" w:hAnsi="PT Astra Serif"/>
          <w:sz w:val="28"/>
        </w:rPr>
        <w:t xml:space="preserve">Правилами землепользования и застройки муниципального образования город Донской, утвержденными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sz w:val="28"/>
        </w:rPr>
        <w:t xml:space="preserve"> года № </w:t>
      </w:r>
      <w:r>
        <w:rPr>
          <w:rFonts w:ascii="PT Astra Serif" w:hAnsi="PT Astra Serif"/>
          <w:sz w:val="28"/>
        </w:rPr>
        <w:t>836 «Об утверждении Правил землепользования и застройки муниципального образования город Донской»</w:t>
      </w:r>
      <w:r>
        <w:rPr>
          <w:rFonts w:ascii="PT Astra Serif" w:hAnsi="PT Astra Serif"/>
          <w:sz w:val="28"/>
        </w:rPr>
        <w:t xml:space="preserve">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от </w:t>
      </w:r>
      <w:r>
        <w:rPr>
          <w:rFonts w:ascii="PT Astra Serif" w:hAnsi="PT Astra Serif"/>
          <w:sz w:val="28"/>
        </w:rPr>
        <w:t>06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года, администрация муниципального образования город Донской </w:t>
      </w:r>
      <w:r>
        <w:rPr>
          <w:rFonts w:ascii="PT Astra Serif" w:hAnsi="PT Astra Serif"/>
          <w:sz w:val="28"/>
        </w:rPr>
        <w:t>ПОСТАНОВЛЯЕТ:</w:t>
      </w:r>
    </w:p>
    <w:p w14:paraId="0F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Утвердить </w:t>
      </w:r>
      <w:r>
        <w:rPr>
          <w:rFonts w:ascii="PT Astra Serif" w:hAnsi="PT Astra Serif"/>
          <w:sz w:val="28"/>
        </w:rPr>
        <w:t xml:space="preserve">схемы расположения земельных участков под многоквартирными жилыми домами: </w:t>
      </w:r>
    </w:p>
    <w:p w14:paraId="10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по образованию земельных участков, расположенных </w:t>
      </w:r>
      <w:r>
        <w:rPr>
          <w:rFonts w:ascii="PT Astra Serif" w:hAnsi="PT Astra Serif"/>
          <w:sz w:val="28"/>
        </w:rPr>
        <w:t>по адресу: Тул</w:t>
      </w:r>
      <w:r>
        <w:rPr>
          <w:rFonts w:ascii="PT Astra Serif" w:hAnsi="PT Astra Serif"/>
          <w:sz w:val="28"/>
        </w:rPr>
        <w:t xml:space="preserve">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Северо-Задонск</w:t>
      </w:r>
      <w:r>
        <w:rPr>
          <w:rFonts w:ascii="PT Astra Serif" w:hAnsi="PT Astra Serif"/>
          <w:sz w:val="28"/>
        </w:rPr>
        <w:t xml:space="preserve">: </w:t>
      </w:r>
    </w:p>
    <w:p w14:paraId="11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</w:rPr>
        <w:t>ул. Ленина, д. 5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1187,0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1);</w:t>
      </w:r>
    </w:p>
    <w:p w14:paraId="12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ул. Ленина, д. 10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2159,0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2)</w:t>
      </w:r>
      <w:r>
        <w:rPr>
          <w:rFonts w:ascii="PT Astra Serif" w:hAnsi="PT Astra Serif"/>
          <w:sz w:val="28"/>
        </w:rPr>
        <w:t>;</w:t>
      </w:r>
    </w:p>
    <w:p w14:paraId="13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ул. Ленина, д. 12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1915,0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2)</w:t>
      </w:r>
      <w:r>
        <w:rPr>
          <w:rFonts w:ascii="PT Astra Serif" w:hAnsi="PT Astra Serif"/>
          <w:sz w:val="28"/>
        </w:rPr>
        <w:t>;</w:t>
      </w:r>
    </w:p>
    <w:p w14:paraId="14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ул. Строительная, д. 1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1892,0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2)</w:t>
      </w:r>
      <w:r>
        <w:rPr>
          <w:rFonts w:ascii="PT Astra Serif" w:hAnsi="PT Astra Serif"/>
          <w:sz w:val="28"/>
        </w:rPr>
        <w:t>;</w:t>
      </w:r>
    </w:p>
    <w:p w14:paraId="15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ул. Строительная, д. 5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1732,0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2)</w:t>
      </w:r>
      <w:r>
        <w:rPr>
          <w:rFonts w:ascii="PT Astra Serif" w:hAnsi="PT Astra Serif"/>
          <w:sz w:val="28"/>
        </w:rPr>
        <w:t>;</w:t>
      </w:r>
    </w:p>
    <w:p w14:paraId="16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ул. Строительная, д. 33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2218,0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3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7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ул. Вахрушева, д. 1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3214,0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4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8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 образованию земельных участков путем перераспределения</w:t>
      </w:r>
      <w:r>
        <w:rPr>
          <w:rFonts w:ascii="PT Astra Serif" w:hAnsi="PT Astra Serif"/>
          <w:sz w:val="28"/>
        </w:rPr>
        <w:t xml:space="preserve"> земельных участков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расположенных </w:t>
      </w:r>
      <w:r>
        <w:rPr>
          <w:rFonts w:ascii="PT Astra Serif" w:hAnsi="PT Astra Serif"/>
          <w:sz w:val="28"/>
        </w:rPr>
        <w:t>по адресу: Тул</w:t>
      </w:r>
      <w:r>
        <w:rPr>
          <w:rFonts w:ascii="PT Astra Serif" w:hAnsi="PT Astra Serif"/>
          <w:sz w:val="28"/>
        </w:rPr>
        <w:t xml:space="preserve">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Северо-Задонск</w:t>
      </w:r>
      <w:r>
        <w:rPr>
          <w:rFonts w:ascii="PT Astra Serif" w:hAnsi="PT Astra Serif"/>
          <w:sz w:val="28"/>
        </w:rPr>
        <w:t xml:space="preserve">: </w:t>
      </w:r>
    </w:p>
    <w:p w14:paraId="19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>с кадастровым номером 71:26:0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110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1215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 xml:space="preserve">Школьная, д. 30а, с разрешенным использованием </w:t>
      </w:r>
      <w:r>
        <w:rPr>
          <w:rFonts w:ascii="PT Astra Serif" w:hAnsi="PT Astra Serif"/>
          <w:sz w:val="28"/>
        </w:rPr>
        <w:t>среднеэтажная</w:t>
      </w:r>
      <w:r>
        <w:rPr>
          <w:rFonts w:ascii="PT Astra Serif" w:hAnsi="PT Astra Serif"/>
          <w:sz w:val="28"/>
        </w:rPr>
        <w:t xml:space="preserve"> жилая застройка и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участ</w:t>
      </w:r>
      <w:r>
        <w:rPr>
          <w:rFonts w:ascii="PT Astra Serif" w:hAnsi="PT Astra Serif"/>
          <w:sz w:val="28"/>
        </w:rPr>
        <w:t>ка</w:t>
      </w:r>
      <w:r>
        <w:rPr>
          <w:rFonts w:ascii="PT Astra Serif" w:hAnsi="PT Astra Serif"/>
          <w:sz w:val="28"/>
        </w:rPr>
        <w:t xml:space="preserve"> с кадастровым номером 71:26:0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110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961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 xml:space="preserve">Строительная, д. 21, с разрешенным использованием </w:t>
      </w:r>
      <w:r>
        <w:rPr>
          <w:rFonts w:ascii="PT Astra Serif" w:hAnsi="PT Astra Serif"/>
          <w:sz w:val="28"/>
        </w:rPr>
        <w:t>среднеэтажная</w:t>
      </w:r>
      <w:r>
        <w:rPr>
          <w:rFonts w:ascii="PT Astra Serif" w:hAnsi="PT Astra Serif"/>
          <w:sz w:val="28"/>
        </w:rPr>
        <w:t xml:space="preserve"> жилая застройка. </w:t>
      </w:r>
    </w:p>
    <w:p w14:paraId="1A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Площадь территории образуемых земельных участков </w:t>
      </w:r>
      <w:r>
        <w:rPr>
          <w:rFonts w:ascii="PT Astra Serif" w:hAnsi="PT Astra Serif"/>
          <w:sz w:val="28"/>
        </w:rPr>
        <w:t xml:space="preserve">составляет: </w:t>
      </w:r>
    </w:p>
    <w:p w14:paraId="1B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Северо-Задонск,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 xml:space="preserve">Школьная, д. 30а - 5862,0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</w:t>
      </w:r>
    </w:p>
    <w:p w14:paraId="1C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Северо-Задонск,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 xml:space="preserve">Строительная, д. 21- 4283,0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.</w:t>
      </w:r>
    </w:p>
    <w:p w14:paraId="1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Установить для 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</w:t>
      </w:r>
      <w:r>
        <w:rPr>
          <w:rFonts w:ascii="PT Astra Serif" w:hAnsi="PT Astra Serif"/>
          <w:sz w:val="28"/>
        </w:rPr>
        <w:t>ю</w:t>
      </w:r>
      <w:r>
        <w:rPr>
          <w:rFonts w:ascii="PT Astra Serif" w:hAnsi="PT Astra Serif"/>
          <w:sz w:val="28"/>
        </w:rPr>
        <w:t xml:space="preserve"> земель – земли населенных пунктов</w:t>
      </w:r>
      <w:r>
        <w:rPr>
          <w:rFonts w:ascii="PT Astra Serif" w:hAnsi="PT Astra Serif"/>
          <w:sz w:val="28"/>
        </w:rPr>
        <w:t>.</w:t>
      </w:r>
    </w:p>
    <w:p w14:paraId="1E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1F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. Постановление вступает в силу со дня </w:t>
      </w:r>
      <w:r>
        <w:rPr>
          <w:rFonts w:ascii="PT Astra Serif" w:hAnsi="PT Astra Serif"/>
          <w:sz w:val="28"/>
        </w:rPr>
        <w:t>подписания</w:t>
      </w:r>
      <w:r>
        <w:rPr>
          <w:rFonts w:ascii="PT Astra Serif" w:hAnsi="PT Astra Serif"/>
          <w:sz w:val="28"/>
        </w:rPr>
        <w:t xml:space="preserve">. </w:t>
      </w:r>
    </w:p>
    <w:p w14:paraId="20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21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bookmarkStart w:id="1" w:name="_GoBack"/>
      <w:bookmarkEnd w:id="1"/>
    </w:p>
    <w:p w14:paraId="22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Г</w:t>
      </w:r>
      <w:r>
        <w:rPr>
          <w:rFonts w:ascii="PT Astra Serif" w:hAnsi="PT Astra Serif"/>
          <w:b w:val="1"/>
          <w:sz w:val="28"/>
        </w:rPr>
        <w:t>лав</w:t>
      </w: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администрации                                                                               </w:t>
      </w:r>
    </w:p>
    <w:p w14:paraId="23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      </w:t>
      </w:r>
      <w:r>
        <w:rPr>
          <w:rFonts w:ascii="PT Astra Serif" w:hAnsi="PT Astra Serif"/>
          <w:b w:val="1"/>
          <w:sz w:val="28"/>
        </w:rPr>
        <w:t xml:space="preserve">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город Донской 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</w:t>
      </w:r>
      <w:r>
        <w:rPr>
          <w:rFonts w:ascii="PT Astra Serif" w:hAnsi="PT Astra Serif"/>
          <w:b w:val="1"/>
          <w:sz w:val="28"/>
        </w:rPr>
        <w:t>С.Г. Кулик</w:t>
      </w:r>
    </w:p>
    <w:sectPr>
      <w:footerReference r:id="rId1" w:type="default"/>
      <w:pgSz w:h="16838" w:orient="portrait" w:w="11906"/>
      <w:pgMar w:bottom="568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2_ch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rmal"/>
    <w:link w:val="Style_11_ch"/>
    <w:pPr>
      <w:spacing w:after="0" w:line="240" w:lineRule="auto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List Paragraph"/>
    <w:basedOn w:val="Style_2"/>
    <w:link w:val="Style_24_ch"/>
    <w:pPr>
      <w:ind w:firstLine="0" w:left="720"/>
      <w:contextualSpacing w:val="1"/>
    </w:pPr>
  </w:style>
  <w:style w:styleId="Style_24_ch" w:type="character">
    <w:name w:val="List Paragraph"/>
    <w:basedOn w:val="Style_2_ch"/>
    <w:link w:val="Style_24"/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ConsPlusTitle"/>
    <w:link w:val="Style_27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7_ch" w:type="character">
    <w:name w:val="ConsPlusTitle"/>
    <w:link w:val="Style_27"/>
    <w:rPr>
      <w:rFonts w:ascii="Times New Roman" w:hAnsi="Times New Roman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2024-11-12T12:17:12Z</dcterms:modified>
</cp:coreProperties>
</file>